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BV.2004.00153 vom 24. Oktober 2005</w:t>
      </w:r>
    </w:p>
    <w:p>
      <w:r>
        <w:t>ZH Sozialversicherungsgericht, 2005-10-24, DE</w:t>
      </w:r>
    </w:p>
    <w:p>
      <w:r>
        <w:rPr>
          <w:b/>
        </w:rPr>
        <w:t xml:space="preserve">Quelle: </w:t>
      </w:r>
      <w:r>
        <w:t>https://mcp.opencaselaw.ch/entscheid/zh_sozialversicherungsgericht_BV.2004.00153</w:t>
      </w:r>
    </w:p>
    <w:p>
      <w:r>
        <w:t>FR: ZH_SOZIALVERSICHERUNGSGERICHT BV.2004.00153 du 24 octobre 2005</w:t>
      </w:r>
    </w:p>
    <w:p>
      <w:r>
        <w:t>IT: ZH_SOZIALVERSICHERUNGSGERICHT BV.2004.00153 del 24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Fr. 46'184.--</w:t>
      </w:r>
    </w:p>
    <w:p>
      <w:r>
        <w:t>- abzÃ¼glich IV-Rente*</w:t>
      </w:r>
    </w:p>
    <w:p>
      <w:r>
        <w:rPr>
          <w:b/>
        </w:rPr>
        <w:t>E. 2</w:t>
      </w:r>
    </w:p>
    <w:p>
      <w:r>
        <w:t>) Fr. 18'240.-- zuzÃ¼glich Teuerung von 2,4 % (vgl. Art. 3 Abs. 2 der Verordnung 03 Ã¼ber Anpassungen an die Lohn und Preisentwicklung bei der AHV/IV/EO)</w:t>
      </w:r>
    </w:p>
    <w:p>
      <w:r>
        <w:t>2.3Â Â Â Â  Die KlÃ¤gerin hat somit ab 1. November 2001 Anspruch auf eine Invalidenrente von jÃ¤hrlich Fr. 12'033.-- und ab 1. Januar 2004 auf eine solche von Fr. 36'652.--.</w:t>
      </w:r>
    </w:p>
    <w:p>
      <w:r>
        <w:t>3.Â Â Â Â Â Â</w:t>
      </w:r>
    </w:p>
    <w:p>
      <w:r>
        <w:t>3.1Â Â Â Â  Nach der Rechtsprechung gemÃ¤ss BGE 127 V 264 ist fÃ¼r Hinterlassenen- und Invalidenrenten, die Ã¼ber das vom Gesetz vorgeschriebene Minimum hinausgehen, der Teuerungsausgleich insoweit nicht obligatorisch, als die Gesamtrente hÃ¶her ist als die der Preisentwicklung angepasste BVG-Rente (sog. Anrechnungsprinzip). Ãberdies erfolgt im Bereich des Obligatoriums eine Anpassung der Hinterlassenen- und Invalidenrenten an die Preisentwicklung erst, wenn die Laufzeit der Renten drei Jahre Ã¼berschritten hat (Art. 36 Abs. 1 BVG).</w:t>
      </w:r>
    </w:p>
    <w:p>
      <w:r>
        <w:t>3.2Â Â Â Â  Die geforderte Anpassung der Rente an die Teuerung kann vorliegend nicht erfolgen, da die Rente aufgrund der ÃberentschÃ¤digungsregelung umgehend wieder gekÃ¼rzt werden mÃ¼sste. Eine allfÃ¤llige Anpassung, welche, da das Reglement keine Regelung enthÃ¤lt, ohnehin nur auf dem obligatorischen Anteil der Renten zu gewÃ¤hren ist, gelangt damit nicht zum Vollzug. Im Ãbrigen haben die Laufzeiten der Renten jeweils noch keine drei Jahre Ã¼berschritten.</w:t>
      </w:r>
    </w:p>
    <w:p>
      <w:r>
        <w:rPr>
          <w:b/>
        </w:rPr>
        <w:t>E. 4.1</w:t>
      </w:r>
    </w:p>
    <w:p>
      <w:r>
        <w:t>Versicherte, welche die Vorsorgeeinrichtung verlassen, bevor ein Vorsorgefall eintritt (FreizÃ¼gigkeitsfall), haben Anspruch auf eine Austrittsleistung (Art. 2 Abs. 1 des Bundesgesetzes Ã¼ber die FreizÃ¼gigkeit in der beruflichen Alters-, Hinterlassenen- und Invalidenvorsorge (FZG). GemÃ¤ss Art. 14 Abs. 4 des Reglements wird einem teilinvaliden Versicherten, der aus der Pensionskasse austritt, fÃ¼r den erwerbsfÃ¤higen Teil eine Austrittsleistung gemÃ¤ss Art. 22 des Reglements ausgerichtet. Muss die frÃ¼here Vorsorgeeinrichtung Hinterlassenen- oder Invalidenleistungen erbringen, nachdem sie die Austrittsleistung an die neue Vorsorgeeinrichtung Ã¼berwiesen hat, so ist ihr diese Austrittsleistung nach Art. 3 Abs. 2 FZG soweit zurÃ¼ckzuerstatten, als dies zur Auszahlung der Hinterlassenen- oder Invalidenleistungen nÃ¶tig ist. Die Bestimmung im Reglement der Beklagten lautet gleich (vgl. Art. 21 Abs. 5 des Reglements). Muss die neue Vorsorgeeinrichtung Austrittsleistungen an die frÃ¼here nach Art. 3 Abs. 2 FZG zurÃ¼ckerstatten, dÃ¼rfen allfÃ¤llige KÃ¼rzungen der Leistungen wegen ÃberentschÃ¤digung bei der Berechnung des Barwertes unberÃ¼cksichtigt bleiben (Art. 4 Satz 1 der FreizÃ¼gigkeitsverordnung, FZV).</w:t>
      </w:r>
    </w:p>
    <w:p>
      <w:r>
        <w:t>4.2Â Â Â Â  Die KlÃ¤gerin hat Anspruch auf eine ganze Invalidenrente, weshalb sie bei Austritt aus der Pensionskasse keinen Anspruch auf eine Austrittsleistung hat (vgl. Art. 14 Abs. 4 des Reglements). Da das Reglement keine Verpflichtung beinhaltet, dass allfÃ¤llige KÃ¼rzungen der Leistungen wegen ÃberentschÃ¤digung bei der Berechnung der FreizÃ¼gigkeitsleistung zu berÃ¼cksichtigen sind, hat die KlÃ¤gerin der Beklagten die gesamte FreizÃ¼gigkeitsleistung zurÃ¼ckzuerstatten.</w:t>
      </w:r>
    </w:p>
    <w:p>
      <w:r>
        <w:rPr>
          <w:b/>
        </w:rPr>
        <w:t>E. 5</w:t>
      </w:r>
    </w:p>
    <w:p>
      <w:r>
        <w:t>.Â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