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BV.2004.00124 vom 7. September 2005</w:t>
      </w:r>
    </w:p>
    <w:p>
      <w:r>
        <w:t>ZH Sozialversicherungsgericht, 2005-09-07, DE</w:t>
      </w:r>
    </w:p>
    <w:p>
      <w:r>
        <w:rPr>
          <w:b/>
        </w:rPr>
        <w:t xml:space="preserve">Quelle: </w:t>
      </w:r>
      <w:r>
        <w:t>https://mcp.opencaselaw.ch/entscheid/zh_sozialversicherungsgericht_BV.2004.00124</w:t>
      </w:r>
    </w:p>
    <w:p>
      <w:r>
        <w:t>FR: ZH_SOZIALVERSICHERUNGSGERICHT BV.2004.00124 du 7 septembre 2005</w:t>
      </w:r>
    </w:p>
    <w:p>
      <w:r>
        <w:t>IT: ZH_SOZIALVERSICHERUNGSGERICHT BV.2004.00124 del 7 settembre 2005</w:t>
      </w:r>
    </w:p>
    <w:p>
      <w:pPr>
        <w:pStyle w:val="Heading2"/>
      </w:pPr>
      <w:r>
        <w:t>Erwägungen</w:t>
      </w:r>
    </w:p>
    <w:p>
      <w:r>
        <w:rPr>
          <w:b/>
        </w:rPr>
        <w:t>E. 2</w:t>
      </w:r>
    </w:p>
    <w:p>
      <w:r>
        <w:t>2.1Â Â Â Â  Nach schriftlicher Auskunft des heute amtierenden ZentralsekretÃ¤rs, FÃ¼rsprecher F.___, vom 29. Dezember 2004 (Urk. 17) bestand die Personalvorsorge-Kommission im hier massgebenden Zeitpunkt aus zwei Vertretern, dem Arbeitgebervertreter G.___ und dem Arbeitnehmervertreter H.___. Angesichts dieser unmissverstÃ¤ndlichen und klaren Auskunft, an der zu zweifeln keinerlei Anlass besteht, erÃ¼brigen sich weitere Nachforschungen hinsichtlich Wahl und Amtsdauer oder des neu vorgebrachten Zweifels, dass die damals amtierenden Mitglieder im Dienste des Arbeitgebers standen. Dass Letzteres zutraf, ergibt sich ebenfalls ohne weiteres aus der schriftlich getÃ¤tigten Auskunft, wonach beide "inzwischen nicht mehr fÃ¼r unseren Verband tÃ¤tig" sind (Urk. 17). Da im Ãbrigen von einer Zeugenbefragung keine Ã¼ber die schriftliche Auskunft hinausgehenden, sachdienlichen AufschlÃ¼sse zu erwarten sind, erÃ¼brigt sich auch die Ermittlung der aktuellen Adressen.</w:t>
      </w:r>
    </w:p>
    <w:p>
      <w:r>
        <w:t>2.2Â Â Â Â  Das gemÃ¤ss Personalvorsorgereglement (Ziffer 3.4.11, Abs. 5) erforderliche schriftliche, begrÃ¼ndete Gesuch stellte die unbestritten rechtsgÃ¼ltig mandatierte FÃ¼rsprecherin Ruth M. Cimber Schudel mit Schreiben vom 1. Dezember 2000 (Urk. 2/2/16). Das Reglement fordert keine hÃ¶chstpersÃ¶nliche AusÃ¼bung bzw. schrÃ¤nkt das Recht, sich vertreten zu lassen, nicht ein. Entgegen den Vorschriften richtete die Vertreterin dieses Gesuch nicht an die Personalvorsorge-Kommission, sondern reichte es direkt bei der Beklagten ein (entsprechend dem auf Urk. 2/16 versehenen Eingangsstempel am 4. Dezember 2000 eingetroffen), was indes nicht schadet, denn diese leitete es am 7. Dezember 2000 an die fÃ¼r den Entscheid zustÃ¤ndige Personalvorsorge-Kommission weiter (Urk. 18/2), wo es am 8. Dezember 2000 einging (Urk. 17). Wie bereits im kassierten Urteil des hiesigen Gerichts vom 21. Januar 2004 (Urk. 2/34) ausgefÃ¼hrt (Erw. 4.1 Anfang), sieht der sich im Personalvorsorge-Reglement niederschlagende privatrechtliche Vorsorgevertrag keine Formularpflicht fÃ¼r eine BegÃ¼nstigungsÃ¤nderung vor, weshalb der Versand oder Empfang des vom Verstorbenen eigenhÃ¤ndig unterschriebenen Formulars "BegÃ¼nstigungsÃ¤nderung" (Urk. 2/2/29 = Urk. 18/4), datierend vom 1. Dezember 2000, ohne Bedeutung ist. Auch kÃ¶nnen mit diesem Formular nicht ohne weiteres vertragliche Bestimmungen abgeÃ¤ndert werden (vgl. hierzu auch nachfolgende ErwÃ¤gung). Im Ãbrigen hat das EidgenÃ¶ssische Versicherungsgericht in seinem Urteil vom 23. August 2004 verbindlich festgehalten, dass weder an der Echtheit der Unterschrift noch an der UrteilsfÃ¤higkeit des Gesuchstellers im gegebenen Zeitpunkt zu zweifeln ist.</w:t>
      </w:r>
    </w:p>
    <w:p>
      <w:r>
        <w:t>Â Â Â Â Â Â Â Â  Offensichtlich wurden die Mitglieder der Personalvorsorge-Kommission fÃ¼r die am 13. Dezember 2000 abgehaltene Sitzung nicht 10 Tage im Voraus einberufen. Mit Zustimmung aller Mitglieder kann aber auf die Einhaltung dieser Frist verzichtet werden. Weil alle Mitglieder an der Sitzung vom 13. Dezember 2000 anwesend waren (Urk. 17) und mit ihrer Zustimmung und Unterschrift unter das Schreiben vom 15. Dezember 2000 (Urk. 18/1) zumindest konkludent ihren Verzicht auf die Einhaltung der Einberufungsfrist bekundeten, wurde diesen Vorschriften (Ziffer 4.2 Organisationsreglement) nachgelebt.</w:t>
      </w:r>
    </w:p>
    <w:p>
      <w:r>
        <w:t>Â Â Â Â Â Â Â Â  Die Personalvorsorge-Kommission war am 13. Dezember 2000 in Anwesenheit aller Mitglieder beschlussfÃ¤hig und hat dem Gesuch um BegÃ¼nstigungsÃ¤nderung, welches nach Auskunft des damaligen Arbeitnehmervertreters einziges Traktandum war, einstimmig zugestimmt. Ein fÃ¶rmliches, als solches tituliertes Beschlussprotokoll wurde nicht erstellt, da nach Auskunft des damaligen Arbeitnehmervertreters H.___ der Beschluss vom 13. Dezember 2000 in Form des Briefes vom 15. Dezember 2000 festgehalten und gleichzeitig der Beklagten mitgeteilt worden ist (Urk. 17). Dieses Schreiben (Urk. 18/1) enthÃ¤lt aber alle notwendigen Inhalte eines Beschlussprotokolls, weshalb es als solches zu betrachten ist, zumal reglementarisch keine formellen Anforderungen an die Protokollierung gestellt werden (Ziffer 4.3 Organisationsregelement). Dem Schreiben vom 15. Dezember 2000 lÃ¤sst sich entnehmen, Ã¼ber welches Gesuch befunden worden ist, wann und wie darÃ¼ber beschlossen wurde und sinngemÃ¤ss (durch Unterschrift der beiden einzigen Vertreter der Personalvorsorge-Kommission) wer beim Beschluss anwesend war und wie mitentschieden hat. Es besteht keinerlei Anlass, den damaligen Mitgliedern der Personalvorsorge-Kommission zu unterstellen, die Beschlussfassung vom 13. Dezember 2000 wahrheitswidrig wiedergegeben und durch ihre Unterschrift falsch protokolliert zu haben. Mit der Beschlussfassung vom 13. Dezember 2000 hat die hierfÃ¼r gemÃ¤ss Stiftungsurkunde und Reglement zustÃ¤ndige Personalvorsorge-Kommission ihre Kompetenz wahrgenommen und in formell zulÃ¤ssiger Form und vor Eintritt des Versicherungsfalles entschieden. Ferner hat sie der Beklagten mit Schreiben vom 15. Dezember 2000 den Beschluss zur Kenntnis gebracht und damit den Stiftungsrat als Organ Ã¼ber ihren Entscheid orientiert. Die Personalvorsorge-Kommission ermÃ¶glichte daher dem Stiftungsrat, seine Kompetenz, nÃ¤mlich die Personalvorsorge-Kommission hinsichtlich der Einhaltung der gesetzlichen Bestimmungen zu Ã¼berwachen, wahrzunehmen. Weitere formelle Anforderungen lassen sich den einschlÃ¤gigen Bestimmungen nicht entnehmen. Es wird insbesondere nicht vorausgesetzt, dass der Stiftungsrat vor dem Ableben des Versicherungsnehmers Ã¼ber das BegÃ¼nstigungsÃ¤nderungsgesuch und den Entscheid der Personalvorsorge-Kommission orientiert werden muss. Der vorgedruckte Hinweis im Formular "BegÃ¼nstigungsÃ¤nderung" (Urk. 18/4), wonach "bis zur Antwort der Winterthur-Columna die reglementarische Ordnung" gilt, beinhaltet keine einseitige AbÃ¤nderung der allseitig zwingenden reglementarischen Ordnung, sondern hat zweifelsohne einzig zum Zweck, die Vorsorgeeinrichtung dahingehend abzusichern, dass bei Unkenntnis einer speziellen BegÃ¼nstigungsordnung vertragskonform geleistet wird, sofern nach der reglementarischen Ordnung Leistungen ausgerichtet werden. Entsprechend muss sie sich die Kenntnis der speziellen BegÃ¼nstigungsordnung vorhalten lassen, sobald sie dem Versicherten ihre entsprechende Antwort auf sein Gesuch zukommen liess.</w:t>
      </w:r>
    </w:p>
    <w:p>
      <w:r>
        <w:t>2.3Â Â Â Â  In formeller Hinsicht wurde daher den reglementarischen Vorschriften, enthalten im Personalvorsorgereglement sowie im Organisationsreglement, hinreichend nachgelebt. Zu prÃ¼fen bleibt, ob die materiellen Voraussetzungen einer speziellen BegÃ¼nstigungsordnung gegeben waren.</w:t>
      </w:r>
    </w:p>
    <w:p>
      <w:r>
        <w:rPr>
          <w:b/>
        </w:rPr>
        <w:t>E. 3</w:t>
      </w:r>
    </w:p>
    <w:p>
      <w:r>
        <w:t>3.1Â Â Â Â  Die von der KlÃ¤gerin geltend gemachte Anspruchsberechtigung ist nur dann zu bejahen, wenn verneint werden muss (oder die entsprechende Beweislast greift), dass der Verstorbene die begÃ¼nstigte Person "in erheblichem Masse unterstÃ¼tzt hat" (Ziffer 3.4.11 Abs. 1 lit. a drittes Alinea des Personalvorsorgereglements) und mit der beantragten speziellen BegÃ¼nstigungsordnung dem Vorsorgezweck besser Rechnung getragen wird (Ziffer 3.4.11 Absatz 3 Personalvorsorgereglement). Der Vorsorgezweck wird in Ziffer 1.2.1 des Personalvorsorgereglements nÃ¤her umschrieben. Danach ist es "Zweck dieser Personalvorsorge", die Versicherten und "deren Hinterlassene gegen die wirtschaftlichen Folgen von Erwerbsausfall im Alter, bei Tod oder ErwerbsunfÃ¤higkeit zu schÃ¼tzen" (vgl. auch Ziff. 2. 1 der Stiftungsurkunde).</w:t>
      </w:r>
    </w:p>
    <w:p>
      <w:r>
        <w:t>3.2Â Â Â Â  Nach Art. 15 Abs. 1 lit. b Ziff. 2 der FreizÃ¼gigkeitsverordnung (FZV) gelten im Zusammenhang mit der Erhaltung des Vorsorgeschutzes im Todesfall u.a. natÃ¼rliche Personen, die von der versicherten Person "in erheblichem Masse unterstÃ¼tzt" worden sind, als BegÃ¼nstigte. Ãberdies wird in Art. 2 Abs. 1 lit. b Ziff. 2 der Verordnung Ã¼ber die steuerliche Abzugsberechtigung fÃ¼r BeitrÃ¤ge an anerkannte Vorsorgeformen (BVV 3) ein analoger Begriff verwendet, indem dort fÃ¼r den Fall des Ablebens des Vorsorgenehmers u.a. Personen als BegÃ¼nstigte bezeichnet werden, fÃ¼r deren Unterhalt der Verstorbene "in massgeblicher Weise" aufgekommen ist (vgl. auch den im Zuge der 1. BVG-Revision eingefÃ¼gten, ab 1. Januar 2005 geltenden Art. 20a Abs. 1 lit. a BVG). Unter Hinweis auf diese Verordnungsbestimmungen sowie auf die diesbezÃ¼gliche (bzw. Art. 6 Abs. 1 lit. b Ziff. 2 der frÃ¼heren Verordnung Ã¼ber die Erhaltung des Vorsorgeschutzes [vom 12. November 1986, aufgehoben per 31. Dezember 1994] betreffende) Mitteilung des Bundesamtes fÃ¼r Sozialversicherung (BSV) Ã¼ber die berufliche Vorsorge vom 22. April 1987 (wiedergegeben in ZAK 1987 S. 284 f.) erwog das EidgenÃ¶ssische Versicherungsgericht (EVG) in SZS 1998 S. 75 Erw. 2b im Zusammenhang mit der Auslegung einer reglementarischen Bestimmung im Rahmen der weitergehenden Vorsorge, dass die verstorbene Versicherte die mit ihr im gemeinsamen Haushalt lebende Partnerin nicht im Sinne des Vorsorgereglements "regelmÃ¤ssig unterstÃ¼tzt" ("soutenu rÃ©guliÃ¨rement") hat, weil die Lebenshaltungskosten jeweils hÃ¤lftig aufgeteilt wurden. GemÃ¤ss dem kÃ¼rzlich ergangenen Urteil des EVG in Sachen X. und Y. vom 19. November 2004 (B 96/02), publiziert in BGE 131 V 27, darf hieraus, entgegen der Interpretation durch Markus Moser (Individuelle BegÃ¼nstigungsabreden im Rahmen der Ã¼berobligatorischen beruflichen Hinterlassenenvorsorge - Restriktive Auslegung des Begriffs der "erheblichen UnterstÃ¼tzung", in: SZS 1998 S. 274 ff., S. 275), nicht die letztinstanzliche Auffassung entnommen werden, wonach eine UnterstÃ¼tzung nur dann als "massgeblich" bzw. "erheblich" zu betrachten ist, wenn der Vorsorgenehmer fÃ¼r mehr als die HÃ¤lfte des Unterhalts der unterstÃ¼tzten Person aufkommt (so auch die erwÃ¤hnte BSV-Mitteilung in ZAK 1987 S. 284). Vielmehr lasse sich aus dem genannten Urteil bloss folgern, dass im Falle einer Haushaltgemeinschaft der verstorbene Vorsorgenehmer mehr als die Ã¼brigen Beteiligten zur Bestreitung der gemeinsamen Lebenshaltungskosten beigetragen haben muss. Um wie viel hÃ¶her dieser Beitrag des Vorsorgenehmers auszufallen habe, damit von einer "UnterstÃ¼tzung in erheblichem Masse" im Sinne von Ziff. 3.4.3 Abs. 1 lit. a drittes Alinea Personalvorsorgereglement gesprochen werden kÃ¶nne, lasse sich aus dem in SZS 1998 S. 72 ff. wiedergegebenen Urteil hingegen nicht ableiten (BGE 131 V 31 Erw. 5.1). Ob der verstorbene Vorsorgenehmer tatsÃ¤chlich fÃ¼r mehr als die HÃ¤lfte des Unterhalts der unterstÃ¼tzten Person aufkommen muss oder ob bereits genÃ¼gt, dass der Versicherte im Vergleich zur mit ihm im selben Haushalt lebenden Person einen Ã¼berwiegenden Beitrag an die gemeinsamen Lebenshaltungskosten zu leisten hat (in diesem Sinne Hans-Ulrich Stauffer, Zweite SÃ¤ule und Konkubinat, in: PlÃ¤doyer 1999 Nr. 4 S. 19 ff., S. 21), hat das EVG in BGE 131 V 27 offen gelassen.</w:t>
      </w:r>
    </w:p>
    <w:p>
      <w:r>
        <w:t>Â Â Â Â Â Â Â Â  In der erwÃ¤hnten Mitteilungen des BSV vom 22. April 1987 (ZAK 1987 S. 284) wird - gestÃ¼tzt auf das in SZS 1998 S. 72 ff. publizierte Urteil des EVG - ausserdem ausgefÃ¼hrt, dass die UnterstÃ¼tzung regelmÃ¤ssig zu sein hat. Ob der Konkubinatspartner BegÃ¼nstigter sein kÃ¶nne, hange demzufolge auch von der Dauer des Konkubinates ab. Um den naturgemÃ¤ssen Abgrenzungsschwierigkeiten bei der Beurteilung des Einzelfalles zu begegnen, rechtfertige es sich, im Sinne einer Vermutung auf die Dauer von mindestens fÃ¼nf Jahren abzustellen.</w:t>
      </w:r>
    </w:p>
    <w:p>
      <w:r>
        <w:t>Â Â Â Â Â Â Â Â  Ferner erwog das EVG in seinem in BGE 131 V 27 ff. publizierten Urteil vom 19. November 2004, in welchem es das hier vorliegende Personalvorsorgereglement (Stand 1. Januar 1994) zu interpretieren hatte, dass im Hinblick auf den Vorsorgezweck eine Besserstellung einzelner Vertreter der in Ziffer 3.4.3 Abs. 1 lit. a des Personalvorsorgereglements bezeichneten Personengruppen von vornherein nur in Frage komme, wenn der Vorsorgenehmer im Zeitpunkt des Todes gegenÃ¼ber der zu begÃ¼nstigenden Person die Stellung eines Versorgers innegehabt habe. Dies sei dann der Fall, wenn der bisher unterstÃ¼tzten Person durch den Tod des Versicherten in finanzieller Hinsicht eine wesentliche BeeintrÃ¤chtigung ihrer gewohnten Lebensweise drohe, was sich in erster Linie nach den wirtschaftlichen VerhÃ¤ltnissen der versicherten - allenfalls auch nach denjenigen der zu begÃ¼nstigenden - Person bemesse (BGE 131 V 33 Erw. 5.2).</w:t>
      </w:r>
    </w:p>
    <w:p>
      <w:r>
        <w:t>3.3Â Â Â Â  Aufgrund der vorhandenen MietvertrÃ¤ge ist davon auszugehen, dass der Verstorbene ab 1983 bis jedenfalls April 1998 mit der BegÃ¼nstigten in einem Konkubinat lebte (Urk. 2/2/37, Urk. 2/2/36). Ab April 1998 war K.___ in der Gemeinde D.___ (Urk. 2/15/50), ab Mai 1998 A.___ in I.___ einwohnerpolizeilich angemeldet (Urk. 2/15/51), und laut seiner eigenen gerichtlichen Aussage an der Hauptverhandlung betreffend VernachlÃ¤ssigung von Unterhaltspflichten vom 7. Oktober 1999 soll die Beziehung zur Lebenspartnerin im Januar 1999 in BrÃ¼che gegangen sein (Urk. 2/2/20). Per 1. Mai 1999 mietete der Verstorbene (er unterzeichnete namens der inaktiven M.___ GmbH; vgl. Urk. 2/2/16 S. 2) eine 3Â½-Zimmer Wohnung in derÂ  Gemeinde E.___, zu einem monatlichen Mietzins von Fr. 1'524.-- (Urk. 2/2/28). Dem Einwohneramt meldete er sich jedoch erst am 1. Dezember 1999 unter dieser Adresse (Urk. 2/15/52), an der erwÃ¤hnten Hauptverhandlung sagte er aus, er wohne ab 8. Oktober 1999 dort (Urk. 2/2/20). Diese Adresse in I.___ behielt er bis zu seinem Tode. Die Einwohnerkontrolle vermerkte K.___ ab Januar 2000 an derselben Adresse wohnend (Urk. 2/15/53).</w:t>
      </w:r>
    </w:p>
    <w:p>
      <w:r>
        <w:t>Â Â Â Â Â Â Â Â  Es ist daher erstellt, dass das Konkubinat zwischen dem Verstorbenen und der BegÃ¼nstigten seit 1983 bis zu seinem Tode, mit einem Unterbruch von allenfalls einem bis eineinhalb Jahren andauerte, wobei der Abbruch der Beziehung beziehungsweise der Unterbruch des Konkubinats entgegen den Vorbringen der KlÃ¤gerin nicht erstellt ist, sondern es hierfÃ¼r bloss Indizien gibt, und die einwohnerpolizeilichen Anmeldungen weder mit der gefÃ¼hrten Lebensgemeinschaft noch mit der effektiven Wohnsituation Ã¼bereinstimmen mÃ¼ssen (vgl. auch Urk. 2/15/48). Daher sind die bis September 1996 gemeinsam unterzeichneten MietvertrÃ¤ge stÃ¤rker zu gewichten (vgl. Urk. 2/2/36 und Urk. 2/2/37). Immerhin liess der Verstorbene in seinem Gesuch vom 1. Dezember 2000 ausfÃ¼hren, mit der zu BegÃ¼nstigenden seit 1983 ununterbrochen eine Lebensgemeinschaft gebildet zu haben. Es ist ebenfalls erwiesen, dass die Wohngemeinschaft vor seinem Ableben seit jedenfalls mindestens 11 Monaten wieder aufgenommen worden war (Urk. 2/2/28 und Urk. 2/15/53). Damit dauerte das Konkubinat insgesamt Ã¼ber mindestens 15 Jahre. Ferner waren sie Eltern des im MÃ¤rz 1989 geborenen gemeinsamen Sohnes C._.</w:t>
      </w:r>
    </w:p>
    <w:p>
      <w:r>
        <w:t>Â Â Â Â Â Â Â Â  Ein Vergleich der AuszÃ¼ge aus den individuellen Konten des Versicherungsnehmers und der BegÃ¼nstigten zeigt ausserdem auf, dass der Verstorbene ab 1983 bis 1991 (zum Teil bedeutend) mehr AHV-pflichtiges Einkommen verbuchte und daher selbst unter BerÃ¼cksichtigung seiner Unterhaltspflichten von anfÃ¤nglich Fr. 3'400.-- monatlich (Urk. 2/2/8) mehr zum gemeinsamen Haushalt beizutragen in der Lage war, als K.___ (Einkommen A.___ [Urk. 2/2/19]: Fr. 74'226.-- [1983], Fr. 87'119.-- [1984], Fr. 34'266.-- [1985], Fr. 94'402.-- [1986], Fr. 108'800.-- [1987], Fr. 171'191.-- [1988], Fr. 108'000.-- [1989], Fr. 87'750.-- [1990], Fr. 65'000.-- [1991]; Einkommen K.___ [Urk. 2/15/55]: Fr. 22'701.-- [1983], Fr. 30'500.-- [1984], Fr. 30'400.-- [1985], Fr. 30'700.-- [1986], Fr. 23'022.-- [1987], Fr. 10'000.-- [1988], Fr. 33'900.-- [1989], Fr. 58'220.-- [1990], Fr. 18'800.-- [1991]). Dass die Lebenspartnerin offenbar ursprÃ¼nglich Ã¼ber VermÃ¶gen verfÃ¼gte und dieses in die schliesslich Konkurs gegangene Firma des Verstorbenen einfliessen liess (Urk. 2/2/38; Urk. 2/2/16 Ziffer 3), vermag daran nichts zu Ã¤ndern. Ferner ist darauf hinzuweisen, dass aufgrund der Schuldscheine davon auszugehen ist, dass der Verstorbene seinen Unterhaltspflichten gegenÃ¼ber der KlÃ¤gerin effektiv nicht im vereinbarten bzw. verurteilten Umfang nachgekommen ist (Schuldschein vom 21. Oktober 1994 betreffend UnterhaltsbeitrÃ¤ge von Juni 1990 bis August 1992, Urk. 2/2/11). Ab 1. Oktober 1992 wurde der Unterhaltsbeitrag auf Fr. 1'800.-- monatlich herabgesetzt (Urk. 2/2/10), und im November 1992 wurde der Privatkonkurs Ã¼ber A.___ erÃ¶ffnet. Ab diesem Zeitpunkt Ã¤nderten gemÃ¤ss Eintragung in den individuellen Konten die EinkommensverhÃ¤ltnisse und verzeichnete K.___ - von 1997 abgesehen - regelmÃ¤ssig mehr AHV-pflichtiges Einkommen als der Verstorbene, welcher von FrÃ¼hjahr 1997 bis Juli 1999 auch nicht mehr in der Lage war, seine Unterhaltspflichten gegenÃ¼ber dem gemeinsamen Sohn zu bestreiten (Urk. 2/2/21; Urk. 6). Seiner am 7. Oktober 1999 getÃ¤tigten Aussage nach (vgl. Urk. 2/2/20) lebte A.___ in dieser Zeit von seiner LebensgefÃ¤hrtin, welche seit April 1998 selber ArbeitslosenunterstÃ¼tzung beanspruchte, beziehungsweise bezog er ab Januar 1999 Sozialhilfe, und mussten von Mai bis Juli 1999 die UnterhaltsbeitrÃ¤ge an den Sohn C.___ bevorschusst werden (Urk. 6). Dies geht auch aus dem Gesuch vom 1. Dezember 2000 (Urk. 2/2/16) hervor, wonach er nach dem Konkurs der Firma im FrÃ¼hjahr 1997 vom geschrumpften VermÃ¶gen seiner LebensgefÃ¤hrtin bzw. deren Verwandten gelebt haben soll. Ab Juni 1999 erzielte A.___ wiederum ein regelmÃ¤ssiges Erwerbseinkommen und verdiente monatlich Fr.5'920.-- netto, seine seit mindestens Januar 2000 wiederum bei ihm wohnende LebensgefÃ¤hrtin bezog ab April 2000 kein Arbeitslosentaggeld mehr und verfÃ¼gte danach bis zu seinem Tode Ã¼ber kein eigenes Einkommen. Die Gemeinde E.___ unterstÃ¼tzte K.___ fÃ¼r den Zeitraum vom 15. November 2000 bis 31. MÃ¤rz 2001, d.h. bis zur Auszahlung des Todesfallkapitals (Urk. 14). Vom Nettoeinkommen des Verstorbenen wurde nebst dem laufenden Unterhaltsbeitrag fÃ¼r die KlÃ¤gerin von Fr. 1'800.-- laut Berechnung des Betreibungsamtes L.___ vom 24. Mai 2000 Fr. 1'200.-- als pfÃ¤ndbare Quote fÃ¼r ausstehende Alimente vereinbart (PfÃ¤ndungsprotokoll vom 11. September 2000, Urk. 2/2/23; vgl. auch Urk. 2/21/1). Somit verblieben dem Verstorbenen ab Mai 2000 rund Fr. 2'900.-- monatlich, wovon nicht nur er, sondern offensichtlich auch sein Sohn C.___ sowie die LebensgefÃ¤hrtin leben mussten.</w:t>
      </w:r>
    </w:p>
    <w:p>
      <w:r>
        <w:t>3.4Â Â Â Â  Angesichts dieser UmstÃ¤nde ist mindestens mit dem Beweisgrad der Ã¼berwiegenden Wahrscheinlichkeit davon auszugehen, dass die letzten Monate vor seinem Tode der Verstorbene seine LebensgefÃ¤hrtin, welche Ã¼ber kein eigenes Einkommen mehr verfÃ¼gte, in erheblichem Masse finanziell unterstÃ¼tzt hat bzw. fÃ¼r die gemeinsamen Lebenshaltungskosten in Ã¼berwiegendem Masse effektiv aufgekommen ist, auch wenn der Umfang des verfÃ¼gbaren Einkommens sicherlich EinschrÃ¤nkungen erforderlich machte, aber eine UnterstÃ¼tzung keinesfalls ausschliesst. Dass diese EinschrÃ¤nkungen im Juli 2000 derart waren, dass er seinen Verpflichtungen gegenÃ¼ber der LebensgefÃ¤hrtin nicht mehr nachkommen konnte und daher ein Gesuch um Aufhebung der LohnpfÃ¤ndung an das FÃ¼rsorgeamt der Stadt I.___ richtete (Schreiben vom 27. Oktober 2000, Urk. 2/2/21, welchem am 31. Oktober 2000 auch nachgekommen wurde, indem die monatliche PfÃ¤ndung fÃ¼r die rÃ¼ckstÃ¤ndigen UnterhaltsbeitrÃ¤ge an die KlÃ¤gerin auf monatlich Fr. 500.-- herabgesetzt wurde, Urk. 2/21/1, so dass demÂ  Verstorbenen, seiner LebensgefÃ¤hrtin und dem gemeinsamen Sohn Fr. 3'600.-- fÃ¼r ihren Lebensunterhalt monatlich verblieben), deutet gerade darauf hin, dass der Verstorbene mangels anderweitiger Einkommen die LebensgefÃ¤hrtin finanziell zu unterstÃ¼tzen hatte. Angesichts der Wohnkosten von ca. Fr. 1'530.-- monatlich (Urk. 2/2/28) ist entgegen den Vorbringen der KlÃ¤gerin eine massgebliche UnterstÃ¼tzung auch nicht ausgeschlossen.</w:t>
      </w:r>
    </w:p>
    <w:p>
      <w:r>
        <w:t>Â Â Â Â Â Â Â Â  Der KlÃ¤gerin ist beizupflichten, dass die massgeblich finanzielle UnterstÃ¼tzung des Verstorbenen sich nur auf wenige Monate vor seinem Tod erstrecken konnte, jedenfalls ab Mai 2000, wobei angesichts der frÃ¼heren ErwerbsverhÃ¤ltnisse vor dem Konkurs der Firma des Verstorbenen (FrÃ¼hjahr 1997) nicht auszuschliessen ist, dass der laufende Unterhalt vorÃ¼bergehend auch in frÃ¼heren Jahren massgeblich vom Verstorbenen bestritten wurde. Jedoch reicht die Tatsache, dass der Verstorbene im Zeitpunkt seines Todes und die Monate vorher offensichtlich Versorger seiner langjÃ¤hrigen LebensgefÃ¤hrtin war, aus, um die Vorschriften der BegÃ¼nstigungsordnung zu erfÃ¼llen. Massgebend ist da-bei, dass es sich um eine langjÃ¤hrige Lebensgemeinschaft handelte, auch wenn die finanzielle UnterstÃ¼tzung nur fÃ¼r kurze Zeit vor dem Ableben erwiesen ist, und die finanzielle AbhÃ¤ngigkeit im Zeitpunkt des Todes eine massgebliche, ja ausschliessliche war, wie das auch die Notwendigkeit, FÃ¼rsorgeleistungen bis zur Auszahlung des Todesfallkapitals zu beziehen (Urk. 14), aufzeigt. Es ist nicht in jedem Fall erforderlich, dass die massgebliche finanzielle UnterstÃ¼tzung wÃ¤hrend fÃ¼nf Jahren erfolgt sein muss, um als regelmÃ¤ssig zu gelten. Dieser vom BSV geforderte Richtwert (Mitteilungen Ã¼ber die berufliche Vorsorge Nr. 3 vom 22. April 1987, S.6) dient dazu, kurzlebige soziale und finanzielle VerhÃ¤ltnisse auszuschliessen, und es liegt im Ermessen der entscheidenden Instanz bzw. dem VorsorgetrÃ¤ger, von der Vermutung, welche die fÃ¼nfjÃ¤hrige Dauer impliziert, abzuweichen. Angesichts einer Konkubinatsdauer von Ã¼ber 15 Jahren und einer derartigen finanziellen AbhÃ¤ngigkeit im Zeitpunkt des Todes, die angesichts der familiÃ¤ren (11-jÃ¤hriger gemeinsamer Sohn) und erwerblichen VerhÃ¤ltnisse der BegÃ¼nstigten (aus der Arbeitslosenversicherung ausgesteuert und langjÃ¤hrige berufliche Absenz) sowie ihres Alters (Jahrgang 1946) mit Ã¼berwiegender Wahrscheinlichkeit nicht vorÃ¼bergehender Natur war, hat die fÃ¼r den Entscheid zustÃ¤ndige Personalvorsorge-Kommission der Beklagten ihren ihr zukommenden Ermessensspielraum jedenfalls nicht Ã¼berschritten. Dies ergibt sich auch aus dem in BGE 131 V 27 ff. publizierten Entscheid vom 19. November 2004, wonach auf die wirtschaftlichen VerhÃ¤ltnisse der versicherten - und allenfalls auch nach denjenigen der zu begÃ¼nstigten - Person abzustellen und erforderlich ist, dass der Vorsorgenehmer im Zeitpunkt des Todes gegenÃ¼ber der zu begÃ¼nstigenden Person die Stellung eines Versorgers inne hatte und dass der bisher unterstÃ¼tzten Person durch den Tod des Versicherten in finanzieller Hinsicht eine wesentliche BeeintrÃ¤chtigung der gewohnten Lebensweise droht (Erw. 5.2).</w:t>
      </w:r>
    </w:p>
    <w:p>
      <w:r>
        <w:t>Â Â Â Â Â Â Â Â  Schliesslich ist die BegÃ¼nstigtenordnung ohne weiteres mit dem Vorsorgezweck vereinbar. Durch das Ableben des im Zeitpunkt seines Todes Versorgers fehlte der Beigeladenen offensichtlich die laufende UnterstÃ¼tzung fÃ¼r die Lebenshaltungskosten, und sie konnte erst infolge Auszahlung des Todesfallkapitals aus der SozialhilfeunterstÃ¼tzung entlassen werden (Urk. 14).</w:t>
      </w:r>
    </w:p>
    <w:p>
      <w:r>
        <w:t>3.5Â Â Â Â  Diese BegÃ¼nstigtenordnung entspricht ausserdem zweifelsohne dem vom EidgenÃ¶ssischen Versicherungsgericht aufgeworfenen Gedanken der Billigkeit. Bei dem in SVR 1998 BVG Nr. 51 publizierten Entscheid vom 6. MÃ¤rz 1996 zugrunde liegenden Fall ging es um die Anspruchskonkurrenz von geschiedener und verwitweter Ehefrau auf eine einzige Leistung. Im vorliegenden Fall kommt nebst der strittigen Leistung eine monatliche Rentenleistung der 2. SÃ¤ule von Fr. 1'735.50 zur Auszahlung, welche zwingend der KlÃ¤gerin als Witwe zukommt und was annÃ¤hernd der zuletzt verfÃ¼gten Unterhaltszahlungspflicht des Verstorbenen von Fr. 1'800.-- (Urk. 2/2/10) entspricht, wobei die KlÃ¤gerin seit 1983 vom Ehemann getrennt lebte und die HÃ¶he der nachehelichen Unterhaltspflicht nach der angestrebten Scheidung offen bleiben muss. DemgegenÃ¼ber erhÃ¤lt die langjÃ¤hrige LebensgefÃ¤hrtin nach der BegÃ¼nstigtenordnung ein Todesfallkapital von Fr. 154'543.--, was angesichts der Dauer des Konkubinates, welche diejenige des ehelichen Zusammenlebens bei weitem Ã¼berschritt, sowie der effektiven wirtschaftlichen VerhÃ¤ltnisse im Zeitpunkt des Todes des Versicherungsnehmers, dem Billigkeitsgedanken vollumfÃ¤nglich Rechnung trÃ¤gt. Es ist auch darauf hinzuweisen, dass die beigeladene BegÃ¼nstigte fÃ¼r den gemeinsamen minderjÃ¤hrigen Sohn aufzukommen hat, ein Umstand, welcher in dem durch die 1. BVG-Revision eingefÃ¼gten Art. 20a Abs. 1 lit. a letzter Satzteil (wonach als begÃ¼nstigte Person betreffend Hinterlassenenleistungen auch eine solche in Betracht fÃ¤llt, die fÃ¼r den Unterhalt eines oder mehrerer gemeinsamer Kinder aufkommen muss) eingeflossen ist.</w:t>
      </w:r>
    </w:p>
    <w:p>
      <w:r>
        <w:t>Â Â Â Â Â Â Â Â  Abschliessend ist zu vermerken, dass das Gericht von Vergleichsverhandlungen absah. Angesichts des Umstandes, dass die Beklagte das strittige Todesfallkapital am 12. MÃ¤rz 2001 bereits ausbezahlt hat, die zum Prozess beigeladene BegÃ¼nstigte keine Dispositionsbefugnis Ã¼ber den Streitgegenstand besitzt und vom Gericht auch nicht zu einer Leistung verpflichtet werden kÃ¶nnte (BGE 130 V 501), erachtete das Gericht Vergleichsverhandlungen als fruchtlos.</w:t>
      </w:r>
    </w:p>
    <w:p>
      <w:r>
        <w:t>4.Â Â Â Â Â Â  Nach diesen ErwÃ¤gungen sind sowohl die formellen wie die materiellen Voraussetzungen fÃ¼r die anbegehrte und vollzogene BegÃ¼nstigungsÃ¤nderung gegeben, weshalb die KlÃ¤gerin keinen Anspruch auf das Todesfallkapital hat. Dies fÃ¼hrt zur Abweisung der Klage.</w:t>
      </w:r>
    </w:p>
    <w:p>
      <w:r>
        <w:t>Das Gericht erkennt:</w:t>
      </w:r>
    </w:p>
    <w:p>
      <w:r>
        <w:t>1.Â Â Â Â Â Â Â Â  Die Klage wird abgewiesen.</w:t>
      </w:r>
    </w:p>
    <w:p>
      <w:r>
        <w:t>2.Â Â Â Â Â Â Â Â  Das Verfahren ist kostenlos.</w:t>
      </w:r>
    </w:p>
    <w:p>
      <w:r>
        <w:t>3.Â Â Â Â Â Â Â Â  Zustellung gegen Empfangsschein an:</w:t>
      </w:r>
    </w:p>
    <w:p>
      <w:r>
        <w:t>- FÃ¼rsprecher Beat Liechti, unter Beilage des Doppels von Urk. 21</w:t>
      </w:r>
    </w:p>
    <w:p>
      <w:r>
        <w:t>- Winterthur-Columna Stiftung fÃ¼r berufliche Vorsorge, unter Beilage des Doppels von Urk. 23</w:t>
      </w:r>
    </w:p>
    <w:p>
      <w:r>
        <w:t>- K.___, unter Beilage je einer Kopie von Urk. 21 und Urk. 23</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