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BV.2004.00123 vom 31. Mai 2005</w:t>
      </w:r>
    </w:p>
    <w:p>
      <w:r>
        <w:t>ZH Sozialversicherungsgericht, 2005-05-31, DE</w:t>
      </w:r>
    </w:p>
    <w:p>
      <w:r>
        <w:rPr>
          <w:b/>
        </w:rPr>
        <w:t xml:space="preserve">Quelle: </w:t>
      </w:r>
      <w:r>
        <w:t>https://mcp.opencaselaw.ch/entscheid/zh_sozialversicherungsgericht_BV.2004.00123</w:t>
      </w:r>
    </w:p>
    <w:p>
      <w:r>
        <w:t>FR: ZH_SOZIALVERSICHERUNGSGERICHT BV.2004.00123 du 31 mai 2005</w:t>
      </w:r>
    </w:p>
    <w:p>
      <w:r>
        <w:t>IT: ZH_SOZIALVERSICHERUNGSGERICHT BV.2004.00123 del 31 maggio 2005</w:t>
      </w:r>
    </w:p>
    <w:p>
      <w:pPr>
        <w:pStyle w:val="Heading2"/>
      </w:pPr>
      <w:r>
        <w:t>Erwägungen</w:t>
      </w:r>
    </w:p>
    <w:p>
      <w:r>
        <w:rPr>
          <w:b/>
        </w:rPr>
        <w:t>E. 1</w:t>
      </w:r>
    </w:p>
    <w:p>
      <w:r>
        <w:t>1.1Â Â Â Â  Die vorliegende Streitigkeit unterliegt der Gerichtsbarkeit der in Art. 73 des Bundesgesetzes Ã¼ber die berufliche Alters-, Hinterlassenen- und Invalidenvorsorge (BVG) erwÃ¤hnten richterlichen BehÃ¶rden, womit das hiesige Gericht sowohl in zeitlicher als auch in sachlicher Hinsicht zustÃ¤ndig ist (BGE 128 II 389 Erw. 2.1.1, 128 V 258 Erw. 2a und 120 V 18 Erw. 1a, je mit Hinweisen).</w:t>
      </w:r>
    </w:p>
    <w:p>
      <w:r>
        <w:t>1.2Â Â Â Â  In zeitlicher Hinsicht sind grundsÃ¤tzlich diejenigen RechtssÃ¤tze massgebend, die bei der ErfÃ¼llung des zu Rechtsfolgen fÃ¼hrenden Tatbestands Geltung haben (BGE 127 V 467 Erw. 1, 126 V 136 Erw. 4b, 125 V 44 Erw. 2b und 124 V 227 Erw. 1). Dieser Ã¼bergangsrechtliche Grundsatz gilt auch im Bereich der beruflichen Vorsorge (BGE 121 V 97), weshalb die per 1. Januar 2005 in Kraft getretenen Ãnderungen des BVG vom 3. Oktober 2003 (1. BVG-Revision) - soweit sachbezÃ¼glich Ã¼berhaupt von Belang - vorliegend nicht zur Anwendung kommen. Bei den im Folgenden zitierten Gesetzes- und Verordnungsbestimmungen handelt es sich deshalb - soweit nichts anderes vermerkt wird - um die Fassungen, wie sie bis Ende 2004 in Kraft gewesen sind.</w:t>
      </w:r>
    </w:p>
    <w:p>
      <w:r>
        <w:rPr>
          <w:b/>
        </w:rPr>
        <w:t>E. 2</w:t>
      </w:r>
    </w:p>
    <w:p>
      <w:r>
        <w:t>2.1Â Â Â Â  Streitig und zu prÃ¼fen ist die HÃ¶he der der KlÃ¤gerin von der Beklagten auszurichtenden Hinterlassenenrente. Der Umfang des von der Beklagten zugestandenen Todesfallkapitals von Fr. 2'628.-- (entsprechend 1 / 12 der zuletzt ausgerichteten Altersrente; vgl. Art. 24 des hier nach Ã¼bereinstimmender Parteimeinung anwendbaren Reglements der Beklagten Ã¼ber die Versicherungsleistungen vom 5. September 2003, in Kraft seit dem 1. Januar 2004 [Urk. 2/7]; nachfolgend: 'Reglement') ist von der KlÃ¤gerin ausdrÃ¼cklich nicht zum Streit verstellt worden (Urk. 1 S. 1, unten).</w:t>
      </w:r>
    </w:p>
    <w:p>
      <w:r>
        <w:t>Die Beklagte stellte sich vorprozessual auf den Standpunkt, die KlÃ¤gerin erfÃ¼lle zwar die Voraussetzungen gemÃ¤ss Art. 20 der Verordnung Ã¼ber die berufliche Alters-, Hinterlassenen- und Invalidenvorsorge (BVV 2; in Verbindung mit Art. 19 Abs. 3 BVG) beziehungsweise Art. 21 des Reglements betreffend Anspruch der geschiedenen Frau auf Hinterlassenenleistungen, doch beschrÃ¤nke Art. 21 des Reglements den Anspruch der geschiedenen Witwe zulÃ¤ssigerweise auf eine "Witwenrente gemÃ¤ss BVG", mithin auf die obligatorische Mindestleistung. PraxisgemÃ¤ss finde das per 1. Januar 1985 in Kraft getretene BVG keine rÃ¼ckwirkende Anwendung (BGE 118 V 99 Erw. 2c), so dass fÃ¼r die Berechnung der BVG-Leistungen ausschliesslich BeitrÃ¤ge, Versicherungsperioden und VorsorgefÃ¤lle aus der Zeit nach Inkrafttreten des Gesetzes berÃ¼cksichtigt werden kÃ¶nnten, womit eine BVG-Pflichtleistung stets das Bestehen eines BVG-Altersguthabens voraussetze. Die von ÂA.___ erzielte Altersgutschrift fÃ¼r den Monat Januar 1985 von Fr. 358.80 fÃ¼hre bei einem Umwandlungssatz von 7.2 % zu einer Altersrente von Fr. 25.85 pro Jahr. Die BVG-Witwenrente belaufe sich auf 60 % der Altersrente, mithin auf Fr. 15.51 pro Jahr. Umgerechnet mit dem Faktor 8.769 gemÃ¤ss dem im Anhang zum Reglement publizierten "Tarif 2003 Rentnerinnen" resultiere eine Abfindung von Fr. 136.--. Wohl bezwecke die Witwenrente an die geschiedene Frau an sich die Deckung des mit dem Tod des geschiedenen Mannes und dem damit verbundenen Wegfall des Unterhaltsbeitrags entstehenden Versorgerschadens. Indessen kÃ¶nne daraus nicht abgeleitet werden, dass der entstandene Versorgerschaden stets voll gedeckt sein mÃ¼sse. GemÃ¤ss Art. 20 Abs. 2 BVV 2 kÃ¶nne die leistungspflichtige Vorsorgeeinrichtung ihre Leistungen nÃ¤mlich kÃ¼rzen, wenn diese den Versorgerschaden Ã¼bersteigen wÃ¼rden (Urk. 2/3; vgl. Urk. 2/1). Hieran hÃ¤lt die Beklagte im vorliegenden Klageverfahren fest, mit der ErgÃ¤nzung, dass ÂA.___ zwar zuletzt tatsÃ¤chlich eine Altersrente von Fr. 31'536.-- pro Jahr bezogen habe, er jedoch nur einen Monat dem BVG-Obligatorium unterstanden und die ausgerichtete Altersleistung somit fast vollstÃ¤ndig auf vorobligatorischer Vorsorge beruht habe; gemÃ¤ss dem allgemeinen Grundsatz der NichtrÃ¼ckwirkung kÃ¶nne bei der Berechnung der BVG-Witwenrente lediglich das seit EinfÃ¼hrung des BVG per 1. Januar 1985 geÃ¤ufnete Altersguthaben (von i.c. Fr. 358.80) berÃ¼cksichtigt werden. Die von der KlÃ¤gerin fÃ¼r ihren Standpunkt ins Feld gefÃ¼hrten Entscheide gemÃ¤ss Pra 1/2000 Nr. 17 S. 73 und SVR 11/2000 seien fÃ¼r die vorliegende Beurteilung nicht einschlÃ¤gig (Urk. 7; Urk. 18; vgl. Urk. 10).</w:t>
      </w:r>
    </w:p>
    <w:p>
      <w:r>
        <w:t>DemgegenÃ¼ber macht die KlÃ¤gerin geltend, aus dem im von der Beklagten angerufenen BGE 118 V 99 Erw. 2c formulierten Grundsatz der NichtrÃ¼ckwirkung lasse sich nichts fÃ¼r sie Nachteiliges ableiten, denn dort habe einerseits eine Invalidenrente in Frage gestanden und anderseits sei der Versicherungsfall bereits vor Inkrafttreten des BVG (per 1. Januar 1985) eingetreten gewesen. DemgegenÃ¼ber habe ÂA.___ bei Inkrafttreten des BVG dem Versicherungsobligatorium unterstanden, und es sei ihm demzufolge bei Eintritt des Versicherungsfalls eine ordentliche Rente unter BerÃ¼cksichtigung der vorobligatorischen BeitrÃ¤ge ausgerichtet worden. Gleiches mÃ¼sse mangels gegenteiliger statutarischer/reglementarischer Vorschriften folglich auch fÃ¼r die Berechnung der Witwenrente gelten. GemÃ¤ss hÃ¶chstrichterlicher Praxis mÃ¼sse der Versorgerschaden der geschiedenen Frau insoweit gedeckt sein, als dieser nicht anderweitig kompensiert werde (Pra 1/2000 Nr. 17 S. 73), was vorliegend nicht der Fall sei, da sie lediglich eine AHV-Rente beziehe; durch die Entstehung eines Anspruchs auf eine AHV-Altersrente sei der Versorgerschaden nicht entfallen (Urk. 1). Beim Tod eines BVG-Altersrentners betrage die Witwenrente gemÃ¤ss Art. 21 Abs. 2 BVG 60 % der Altersrente. AnknÃ¼pfungspunkt fÃ¼r die Rentenberechnung sei somit die bezogene Altersrente, und es kÃ¶nne nicht lediglich auf das nach Inkrafttreten des BVG geÃ¤ufnete minimale Altersguthaben abgestellt werden. In Gesetz und Statuten/Reglement werde zwischen Anspruch und HÃ¶he der Rente des Ã¼berlebenden geschiedenen Ehegatten unterschieden; werde wie vorliegend fÃ¼r die HÃ¶he der Ehegattenrente auf die Witwenrente nach BVG Bezug genommen, bedeute dies nichts anderes, als dass sich der Prozentsatz der Hinterlassenenrente fÃ¼r den geschiedenen Ehegatten nach Art. 21 BVG richte. BezugsgrÃ¶sse fÃ¼r die Berechnung der Hinterlassenenrente der KlÃ¤gerin mÃ¼sse demnach vorliegend zufolge bereits laufender Leistungen die von der Beklagten ÂA.___ zuletzt ausgerichtete Altersrente sein (SVR 11/2000; richtig wohl: SVR 11/2000 BVG Nr. 11; Urk. 14).</w:t>
      </w:r>
    </w:p>
    <w:p>
      <w:r>
        <w:rPr>
          <w:b/>
        </w:rPr>
        <w:t>E. 2.2.1</w:t>
      </w:r>
    </w:p>
    <w:p>
      <w:r>
        <w:t>Anspruch auf Hinterlassenenleistungen besteht, wenn der Verstorbene im Zeitpunkt des Todes oder bei Eintritt der ArbeitsunfÃ¤higkeit, deren Ursache zum Tod gefÃ¼hrt hat, versichert war (Art. 18 lit. a BVG) oder von der Vorsorgeeinrichtung im Zeitpunkt des Todes eine Alters- oder Invalidenrente erhielt (Art. 18 lit. b BVG).</w:t>
      </w:r>
    </w:p>
    <w:p>
      <w:r>
        <w:t>Die Witwe hat Anspruch auf eine Witwenrente, wenn sie beim Tod des Ehegatten fÃ¼r den Unterhalt eines oder mehrerer Kinder aufkommen muss (Art. 19 Abs. 1 lit. a BVG) oder das 45. Altersjahr zurÃ¼ckgelegt hat und die Ehe mindestens fÃ¼nf Jahre gedauert hat (Art. 19 Abs. 1 lit. b BVG). ErfÃ¼llt die Witwe keine dieser Voraussetzungen, so hat sie Anspruch auf eine einmalige Abfindung in HÃ¶he von drei Jahresrenten (Art. 19 Abs. 2 BVG).</w:t>
      </w:r>
    </w:p>
    <w:p>
      <w:r>
        <w:t>Die geschiedene Frau ist nach dem Tod ihres geschiedenen Ehemanns der Witwe gleichgestellt, sofern die Ehe mindestens zehn Jahre gedauert hat und der geschiedenen Frau im Scheidungsurteil eine Rente oder eine Kapitalabfindung fÃ¼r eine lebenslÃ¤ngliche Rente zugesprochen wurde (Art. 20 Abs. 1 BVV 2 in Verbindung mit Art. 19 Abs. 3 BVG). Die Leistungen der Vorsorgeeinrichtung kÃ¶nnen jedoch um jenen Betrag gekÃ¼rzt werden, um den sie zusammen mit den Leistungen der Ã¼brigen Versicherungen, insbesondere der AHV und der IV, den Anspruch aus dem Scheidungsurteil Ã¼bersteigen (Art. 20 Abs. 2 BVV 2 in Verbindung mit Art. 19 Abs. 3 BVG).</w:t>
      </w:r>
    </w:p>
    <w:p>
      <w:r>
        <w:t>Beim Tod eines Versicherten betrÃ¤gt die Witwenrente 60 % der vollen Invalidenrente, auf die der Versicherte Anspruch gehabt hÃ¤tte (Art. 21 Abs. 1 BVG). Beim Tod eines Alters- oder Invalidenrentners betrÃ¤gt die Witwenrente 60 % der Alters- oder der vollen Invalidenrente (Art. 21 Abs. 2 BVG).</w:t>
      </w:r>
    </w:p>
    <w:p>
      <w:r>
        <w:t>Der Anspruch auf Hinterlassenenleistungen entsteht mit dem Tod des Versicherten, frÃ¼hestens jedoch mit Beendigung der vollen Lohnfortzahlung (Art. 22 Abs. 1 BVG).</w:t>
      </w:r>
    </w:p>
    <w:p>
      <w:r>
        <w:t>2.2.2Â Â  Art. 19 des hier anwendbaren Reglements (Urk. 2/7) stipuliert unter der Marginalie "Ehegattenrente", dass der hinterlassene Ehegatte eines verstorbenen Versicherten eine lebenslÃ¤ngliche Ehegattenrente erhÃ¤lt (Abs. 1 Satz 1), wobei die Ehegattenrente bis zum Zeitpunkt, in dem der verstorbene Versicherte das 65. Altersjahr vollendet hÃ¤tte, 45 % des versicherten Einkommens beziehungsweise 63 % der laufenden Invalidenrente (Abs. 1 Satz 2) und danach 63 % der versicherten beziehungsweise laufenden Altersrente betrÃ¤gt (Abs. 1 Satz 2). Stirbt ein teilweise Pensionierter, der als Versicherter aus der Pensionskasse ausgetreten ist, so bemessen sich die RentenansprÃ¼che des hinterlassenen Ehegatten nach der Teilrente des verstorbenen Pensionierten (Abs. 2). Der Anspruch auf Ehegattenrente beginnt mit dem Todestag des Versicherten, bei Pensionierten mit dem ersten Tag des auf den Todestag folgenden Monats (Abs. 3 Satz 1). Bis zu diesem Tag wird die Rente ausbezahlt, auf die der Pensionierte Anspruch hatte (Abs. 3 Satz 2).</w:t>
      </w:r>
    </w:p>
    <w:p>
      <w:r>
        <w:t>Unter der Marginalie "Rente an geschiedene Frau" wird in Art. 21 des Reglements (Urk. 2/7) weiter bestimmt, dass fÃ¼r den Fall, dass ein Versicherter eine geschiedene Frau hinterlÃ¤sst, mit der er wÃ¤hrend mindestens zehn Jahren verheiratet war und zu deren Unterhalt er laut Scheidungsurteil beitragen musste, diese eine Witwenrente gemÃ¤ss BVG erhÃ¤lt, sofern ihr fÃ¼r diesen Fall im Scheidungsurteil eine lebenslÃ¤ngliche Rente oder eine entsprechende Kapitalabfindung zugesprochen wurde (Satz 1). Die Leistung gemÃ¤ss BVG kann jedoch um den Betrag gekÃ¼rzt werden, um den sie, zusammen mit den Leistungen der Ã¼brigen Versicherungen (insbes. der AHV oder IV), den Anspruch aus dem Scheidungsurteil Ã¼bertrifft (Satz 2).</w:t>
      </w:r>
    </w:p>
    <w:p>
      <w:r>
        <w:t>2.2.3Â Â  Die Auslegung des Reglements als vorformulierter Inhalt des Vorsorgevertrages geschieht nach dem Vertrauensprinzip. Dabei sind jedoch die Allgemeinen Bedingungen (AGB) generell innewohnenden Besonderheiten zu beachten, namentlich die sogenannten Unklarheits- und UngewÃ¶hnlichkeitsregeln. Nach diesen AuslegungsgrundsÃ¤tzen gilt es ausgehend vom Wortlaut und unter BerÃ¼cksichtigung des Zusammenhangs, in dem eine streitige Bestimmung innerhalb des Reglements als Ganzes steht, den objektiven Vertragswillen zu ermitteln, den die Parteien mutmasslich gehabt haben. Dabei hat das Gericht zu berÃ¼cksichtigen, was sachgerecht ist, weil nicht angenommen werden kann, dass die Parteien eine unvernÃ¼nftige LÃ¶sung gewollt haben. Sodann sind nach konstanter Rechtsprechung mehrdeutige Wendungen in vorformulierten Vertragsbedingungen im Zweifel zulasten ihres Verfassers auszulegen (zum Ganzen: BGE 122 V 146 Erw. 4c, mit Hinweisen auf die Rechtsprechung und Lehre).</w:t>
      </w:r>
    </w:p>
    <w:p>
      <w:r>
        <w:rPr>
          <w:b/>
        </w:rPr>
        <w:t>E. 2.3</w:t>
      </w:r>
    </w:p>
    <w:p>
      <w:r>
        <w:t>2.3.1Â Â  Erstellt ist zunÃ¤chst, dass ÂA.___ bei der Beklagten fÃ¼r kurze Zeit obligatorisch versichert gewesen war und im Schlussalter per Ende Januar 1985 ein Altersguthaben im Sinne von Art. 15 BVG in der HÃ¶he von Fr. 358.80 erworben hatte. Sodann gehen die Parteien darin einig, dass die KlÃ¤gerin gestÃ¼tzt auf Art. 19 Abs. 3 BVG in Verbindung mit Art. 20 Abs. 1 BVV 2 sowie Art. 21 des Reglements (Urk. 2/7) grundsÃ¤tzlich Anspruch auf eine Hinterlassenenrente fÃ¼r Geschiedene hat, da sie mit ÂA.___ Ã¼ber zehn Jahre verheiratet gewesen war und dieser gemÃ¤ss Scheidungsurteil (Urk. 2/5) zu ihrem Unterhalt beitragen musste, wobei ihr eine lebenslÃ¤ngliche Rente eingerÃ¤umt worden war. Unbestritten ist ferner, dass ausgehend von dem von ÂA.___ allein aufgrund des Versicherungsobligatoriums geÃ¤ufneten Altersguthaben von Fr. 358.80 ein jÃ¤hrlicher Hinterlassenenrentenanspruch von rund Fr. 15.50 resultieren wÃ¼rde (= Fr. 358.80 x 7.2 % x 60 %; vgl. Art. 14 BVG in Verbindung mit Art. 17 BVV 2 und Art. 21 Abs. 2 BVG in Verbindung mit Art. 21 des Reglements), was einer einmaligen Kapitalabfindung in der HÃ¶he von rund Fr. 136.-- entsprÃ¤che (= Fr. 15.50 x 8.769; vgl. Art. 37 Abs. 2 BVG in Verbindung mit Umrechnungstarif gemÃ¤ss Reglementsanhang [nicht aktenkundig]).</w:t>
      </w:r>
    </w:p>
    <w:p>
      <w:r>
        <w:t>Umstritten ist, ob bei der Bemessung der der KlÃ¤gerin zustehenden Hinterlassenenrente ausschliesslich das von ÂA.___ im Januar 1985, das heisst ab dem Inkrafttreten des BVG bis zur Pensionierung erworbene BVG-Altersguthaben (von Fr. 358.80; so die Beklagte) heranzuziehen oder aber auf die diesem unter Einbezug des Vorobligatoriums ausgerichtete Altersrente (von zuletzt Fr. 31'536.-- pro Jahr; so die KlÃ¤gerin) abzustellen ist.</w:t>
      </w:r>
    </w:p>
    <w:p>
      <w:r>
        <w:t>2.3.2Â Â  Es ist davon auszugehen, dass die KlÃ¤gerin mit dem Tod ihres geschiedenen und pensionierten Ehemannes dessen Unterhaltsleistungen verlustig ging. Im fraglichen Umfang erleidet sie einen Versorgerschaden. Entgegen dem DafÃ¼rhalten der KlÃ¤gerin lÃ¤sst sich allerdings aus dem von ihr angefÃ¼hrten Urteil des EidgenÃ¶ssischen Versicherungsgerichts (EVG) vom 11. Juni 2001 in Sachen L. (B 6/99; publiziert in Pra 1/2002 Nr. 17 S. 73 ff. und SVR 12/2001 BVG Nr. 19 S. 73 f.) nicht ableiten, dass der ihr durch das Ableben von A.___ entstandene Schaden mittels der von der Beklagten auszurichtenden Hinterlassenenrente in jedem Fall voll gedeckt werden mÃ¼sste, gleichsam unbesehen weiterer Berechnungsfaktoren. Die Beklagte hat ferner zurecht darauf hingewiesen, dass vorliegend (zumindest bislang) gar keine LeistungskÃ¼rzung im Sinne von Art. 20 Abs. 2 BVV 2 in Verbindung mit Art. 19 Abs. 3 BVG und Art. 21 Satz 2 des Reglements (Urk. 2/7) zur Diskussion gestanden hat.</w:t>
      </w:r>
    </w:p>
    <w:p>
      <w:r>
        <w:t>2.3.3Â Â  Die Beklagte ist eine sogenannte umhÃ¼llende Vorsorgeeinrichtung, welche neben der obligatorischen auch die weitergehende berufliche Vorsorge betreibt (Art. 49 Abs. 2 BVG), wobei die AnsprÃ¼che der versicherten Personen in einem einzigen Reglement geregelt werden, welches nicht zwischen den beiden Bereichen unterscheidet (Urk. 2/7). Ihre Leistungen unterliegen sodann reglementarisch dem Leistungsprimat (vgl. Art. 12 des Reglements).</w:t>
      </w:r>
    </w:p>
    <w:p>
      <w:r>
        <w:t>Der Beklagten ist zwar darin beizupflichten, dass im Bereich der beruflichen Vorsorge vom allgemeinen Grundsatz auszugehen ist, wonach das BVG - vorbehÃ¤ltlich ausdrÃ¼cklicher Ausnahmen - keine rÃ¼ckwirkende Anwendung findet und daher fÃ¼r die Berechnung der BVG-Leistungen ausschliesslich die BetrÃ¤ge, Versicherungsperioden und VorsorgefÃ¤lle aus der Zeit nach dem Inkrafttreten des Gesetzes (per 1. Januar 1985) berÃ¼cksichtigt werden kÃ¶nnen, woraus folgt, dass BVG-Leistungen grundsÃ¤tzlich ein ab 1. Januar 1985 erworbenes Altersguthaben im Sinne von Art. 15 BVG voraussetzen (BGE 118 V 99 Erw. 2c, mit zahlreichen Hinweisen). Daraus allein lÃ¤sst sich indessen noch nichts Abschliessendes in Bezug auf den vorliegenden Streitpunkt ableiten, ob bei der Bemessung der der KlÃ¤gerin zustehenden Hinterlassenenrente - im Sinne der Beklagten - ausschliesslich das von ÂA.___ im Januar 1985 (d.h. ab dem Inkrafttreten des BVG bis zur Pensionierung per Ende Januar 1985) erworbene BVG-Altersguthaben (von Fr. 358.80) als Basis heranzuziehen oder aber - im Sinne der KlÃ¤gerin - auf die diesem unter Einbezug des Vorobligatoriums ausgerichtete Altersrente (von zuletzt Fr. 31'536.--/J.) abzustellen ist. Diese Frage ist vielmehr durch Auslegung der einschlÃ¤gigen Reglementsbestimmungen (Art. 19 und insbes. Art. 21) im Lichte der relevanten gesetzlichen Normierungen (Art. 19 Abs. 3 BVG in Verbindung mit Art. 20 Abs. 1 BVV 2 und Art. 21 BVG) zu entscheiden.</w:t>
      </w:r>
    </w:p>
    <w:p>
      <w:r>
        <w:t>Art. 21 des Reglements regelt gleichermassen den Anspruch der geschiedenen Witwe auf eine Hinterlassenrente wie auch deren Bemessung, samt allfÃ¤lliger KÃ¼rzung zufolge ÃberentschÃ¤digung. Die Voraussetzungen der in Satz 1 enthaltenen Anspruchsnorm (10-jÃ¤hrige Ehedauer, unbefristete Unterhaltsverpflichtung gemÃ¤ss Scheidungsurteil) erfÃ¼llt die KlÃ¤gerin erstellter- und unbestrittenermassen. Die HÃ¶he des daraus folgenden Rentenanspruchs bestimmt sich nach der in Satz 1 mitenthaltenen und in Satz 2 wiederholten Bemessungsvorschrift ("Witwenrente gemÃ¤ss BVG", "Leistung gemÃ¤ss BVG"). Dass es sich dabei um eine von der anderslautenden und von Art. 21 BVG abweichenden statutarischen Regelung betreffend Bemessung der Witwenrente gemÃ¤ss Art. 19 des Reglements losgelÃ¶ste, gleichsam eigenstÃ¤ndige Regelung handelt, ergibt sich daraus, dass der hinterlassene Ehegatte eines verstorbenen Altersrentners eine lebenslÃ¤ngliche Ehegattenrente erhÃ¤lt, die bis zur hypothetischen Vollendung des 65. Altersjahrs durch den verstorbenen Versicherten 45 % des versicherten Einkommens und danach 63 % der versicherten beziehungsweise laufenden Altersrente betrÃ¤gt (Abs. 1 SÃ¤tze 2-3), wobei fÃ¼r das Versterben teilweise Pensionierter und aus der Pensionskasse Ausgetretener eine besondere Regelung getroffen wird (Abs. 2). DemgegenÃ¼ber lehnt sich Art. 21 des Reglements hinsichtlich der Rentenbemessung ausdrÃ¼cklich an das BVG an ("Witwenrente gemÃ¤ss BVG", "Leistung gemÃ¤ss BVG") und stellt die geschiedene Witwe diesbezÃ¼glich nicht einfach der hinterlassenen Ehefrau gleich. Wenn Art. 21 des Reglements fÃ¼r die HÃ¶he der "Rente an [die] geschiedene Frau" ohne weitere ErlÃ¤uterung auf die "Witwenrente nach BVG" (bzw. die "Leistung gemÃ¤ss BVG") Bezug nimmt, so ist dies nun aber nach dem Vertrauensprinzip nur dahingehend zu verstehen, dass sich der Prozentsatz der Hinterlassenenrente fÃ¼r die geschiedene Witwe nach Art. 21 BVG richtet. BezugsgrÃ¶sse ist damit im Fall bereits laufender Altersleistungen die ausgerichtete Altersrente, wobei - im Unterschied zum verheirateten Ehegatten - der Satz durchgehend 60 % betrÃ¤gt und gegebenenfalls eine KÃ¼rzung im Sinne von Art. 21 Satz 2 des Reglements (in Verbindung mit Art. 19 Abs. 3 BVG und Art. 20 Abs. 2 BVV 2) in Kauf zu nehmen ist. Die vorliegende Sach- und Rechtslage ist insofern durchaus vergleichbar mit derjenigen gemÃ¤ss EVG-Urteil vom 22. Mai 2000 in Sachen M. (B 59/99; publiziert in SVR 11/2000 BVG Nr. 11 S. 55 f.). Aus dem Wortlaut von Art. 21 des Reglements geht mithin nicht (bzw. jedenfalls nicht in der erforderlichen Deutlichkeit und Klarheit) hervor, dass sich die Rentenberechung auf den obligatorischen Teil des Altersguthabens beschrÃ¤nken und daher lediglich ein Rentenanspruch im Obligatoriumsbereich resultieren wÃ¼rde. Vielmehr ist von einem Hinterlassenenrentenanspruch der KlÃ¤gerin als geschiedener Frau im Umfang von 60 % der von ihrem verstorbenen geschiedenen Ehemann zuletzt bezogenen Altersrente (von Fr. 31'536.--/J.) auszugehen (d.h. Fr. 18'921.60/J.), wobei - was bei der derzeitigen Aktenlage offen ist und aufgrund des Prozessthemas vorliegend nicht im Einzelnen beurteilt zu werden braucht - der HÃ¶chstbetrag auf den Anspruch aus dem Scheidungsurteil begrenzt ist und dieser gekÃ¼rzt wird oder ganz wegfÃ¤llt, soweit Leistungen der Ã¼brigen Versicherungen, insbesondere gemÃ¤ss Bundesgesetz Ã¼ber die Alters- und Hinterlassenenversicherung (AHVG), anzurechnen sind. Die von der Beklagten vertretene gegenteilige Auffassung wÃ¼rde im Einzelfall zu einer unbefriedigenden, wenn nicht gar in stossender Weise dem Gerechtigkeitsgedanken zuwiderlaufenden Benachteiligung der geschiedenen Witwe gegenÃ¼ber einer verheirateten Hinterlassenen fÃ¼hren, indem erstere mit einem minimalen Kapitalbetrag abgefunden wÃ¼rde (in HÃ¶he von rund Fr. 136.--), wÃ¤hrend letzterer gegebenenfalls eine Rente im Umfang von 63 % der laufenden Altersrente zukÃ¤me (im Betrag von Fr. 19'867.70/J.).</w:t>
      </w:r>
    </w:p>
    <w:p>
      <w:r>
        <w:t>Es wird demnach Sache der Beklagten sein, die HÃ¶he des von der der KlÃ¤gerin zuletzt innegehabten Unterhaltsanspruchs gemÃ¤ss Scheidungsurteil betraglich zu ermitteln und die dieser zukommenden anderweitigen Versicherungsleistungen (namentlich der AHV) genau abzuklÃ¤ren und hernach zu prÃ¼fen, ob und wenn ja in welchem Umfang eine Rente zur Auszahlung gelangt. FÃ¤llige Rentenbetreffnisse sind praxisgemÃ¤ss entsprechend zu verzinsen (vgl. BGE 119 V 135 Erw. 4c).</w:t>
      </w:r>
    </w:p>
    <w:p>
      <w:r>
        <w:rPr>
          <w:b/>
        </w:rPr>
        <w:t>E. 3</w:t>
      </w:r>
    </w:p>
    <w:p>
      <w:r>
        <w:t>Zustellung gegen Empfangsschein an:</w:t>
      </w:r>
    </w:p>
    <w:p>
      <w:r>
        <w:t>- C.___</w:t>
      </w:r>
    </w:p>
    <w:p>
      <w:r>
        <w:t>- Rechtsanwalt Thomas Blattmann M.C.L.</w:t>
      </w:r>
    </w:p>
    <w:p>
      <w:r>
        <w:t>- Bundesamt fÃ¼r Sozialversicherung (BSV)</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