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BV.2004.00119 vom 17. Juli 2007</w:t>
      </w:r>
    </w:p>
    <w:p>
      <w:r>
        <w:t>ZH Sozialversicherungsgericht, 2007-07-17, DE</w:t>
      </w:r>
    </w:p>
    <w:p>
      <w:r>
        <w:rPr>
          <w:b/>
        </w:rPr>
        <w:t xml:space="preserve">Quelle: </w:t>
      </w:r>
      <w:r>
        <w:t>https://mcp.opencaselaw.ch/entscheid/zh_sozialversicherungsgericht_BV.2004.00119</w:t>
      </w:r>
    </w:p>
    <w:p>
      <w:r>
        <w:t>FR: ZH_SOZIALVERSICHERUNGSGERICHT BV.2004.00119 du 17 juillet 2007</w:t>
      </w:r>
    </w:p>
    <w:p>
      <w:r>
        <w:t>IT: ZH_SOZIALVERSICHERUNGSGERICHT BV.2004.00119 del 17 luglio 2007</w:t>
      </w:r>
    </w:p>
    <w:p>
      <w:pPr>
        <w:pStyle w:val="Heading2"/>
      </w:pPr>
      <w:r>
        <w:t>Erwägungen</w:t>
      </w:r>
    </w:p>
    <w:p>
      <w:r>
        <w:rPr>
          <w:b/>
        </w:rPr>
        <w:t>E. 1</w:t>
      </w:r>
    </w:p>
    <w:p>
      <w:r>
        <w:t>1.1Â Â Â Â  Am 14./27. September 2001 schloss die A.___ AG mit der damaligen Servisa Sammelstiftung der Kantonalbanken und heutigen Swisscanto Sammelstiftung der Kantonalbanken (nachfolgend: 'Swisscanto') einen ab 1. Januar 2002 laufenden und erstmals per Ende Dezember 2007 kÃ¼ndbaren Anschlussvertrag Ã¼ber die DurchfÃ¼hrung der beruflichen Vorsorge ab (Vertrag Nr. '___'; Urk. 2/3; vgl. Urk. 2/4-8).</w:t>
      </w:r>
    </w:p>
    <w:p>
      <w:r>
        <w:t>1.2Â Â Â Â  Mit Schreiben vom 15. August 2003 (Urk. 2/9) teilte die 'Swisscanto' der A.___ AG zuhanden von Vorsorgekommission und DestinatÃ¤ren die Senkung des Umwandlungssatzes fÃ¼r den weitergehenden Teil der beruflichen Vorsorge auf das Niveau des Kollektiv-Lebensversicherungstarifs der Patria Schweizerische Lebensversicherungs-Gesellschaft, Basel (nachfolgend: 'Patria'), per 1. Januar 2004 sowie eine kÃ¼nftig mÃ¶gliche Unterschreitung des Mindestzinssatzes gemÃ¤ss Bundesgesetz Ã¼ber die berufliche Alters-, Hinterlassenen- und Invalidenvorsorge (BVG) fÃ¼r den Ã¼berobligatorischen Teil des Sparguthabens mit. Hiergegen protestierte die A.___ AG am 23. September 2003 (Urk. 2/10), worauf die 'Swisscanto' am 14. November 2003 ihren Standpunkt erlÃ¤uterte und bekrÃ¤ftigte (Urk. 2/12; vgl. Urk. 2/11). In der weiteren Korrespondenz konnte keine Einigung Ã¼ber die strittigen Punkte erzielt werden, wobei die 'Swisscanto' der A.___ AG zuletzt ein ausserordentliches KÃ¼ndigungsrecht einrÃ¤umte (Urk. 2/13-18; vgl. auch Urk. 2/19-21).</w:t>
      </w:r>
    </w:p>
    <w:p>
      <w:r>
        <w:rPr>
          <w:b/>
        </w:rPr>
        <w:t>E. 2</w:t>
      </w:r>
    </w:p>
    <w:p>
      <w:r>
        <w:t>2.1Â Â Â Â  GemÃ¤ss Art. 73 Abs. 1 Satz 1 BVG bezeichnet jeder Kanton als letzte kantonale Instanz ein Gericht, das Ã¼ber die Streitigkeiten zwischen Vorsorgeeinrichtungen, Arbeitgebern und Anspruchsberechtigten entscheidet.</w:t>
      </w:r>
    </w:p>
    <w:p>
      <w:r>
        <w:t>Nebst der Voraussetzung, dass sich der Kreis der mÃ¶glichen Verfahrensbeteiligten auf die Vorsorgeeinrichtungen, die Arbeitgeber und die Anspruchsberechtigten beschrÃ¤nkt (vgl. hiezu BGE 127 V 35 Erw. 3b, mit Hinweisen), ist fÃ¼r die ZustÃ¤ndigkeit der in Art. 73 BVG genannten Gerichte erforderlich, dass die Streitigkeit die berufliche Vorsorge im engeren oder weiteren Bereich beschlÃ¤gt. Das ist dann der Fall, wenn die Streitigkeit spezifisch den Rechtsbereich der beruflichen Vorsorge betrifft und das VorsorgeverhÃ¤ltnis zwischen einem Anspruchsberechtigten und einer Vorsorgeeinrichtung zum Gegenstand hat. Im Wesentlichen geht es somit um Streitigkeiten betreffend Versicherungsleistungen, FreizÃ¼gigkeitsleistungen (nunmehr Eintritts- und Austrittsleistungen) und BeitrÃ¤ge. Der Rechtsweg nach Art. 73 BVG steht dagegen nicht offen, wenn die Streitigkeit ihre rechtliche Grundlage nicht in der beruflichen Vorsorge hat, selbst wenn sie sich vorsorgerechtlich auswirkt (BGE 128 V 44 Erw. 1b). In Streitigkeiten zwischen Arbeitgebern und Vorsorgeeinrichtungen um AnschlussvertrÃ¤ge (Art. 11 BVG) ist die sachliche ZustÃ¤ndigkeit gegeben, wenn es sich um eine Frage handelt, die Regelungsgegenstand des Anschlussvertrages bildet. Dementsprechend hat das damalige EidgenÃ¶ssische Versicherungsgericht (EVG) die sachliche ZustÃ¤ndigkeit des BVG-Gerichts beispielsweise bejaht, wo es um die GÃ¼ltigkeit einer KÃ¼ndigung des Anschlussvertrages vor Ablauf der vertraglich vereinbarten Frist (BGE 120 V 299 ff.) oder um die Auslegung einer KÃ¼ndigungsklausel und die Berechnung der Austrittsleistung ging (BGE 120 V 445 ff.). Bejaht wurde die ZustÃ¤ndigkeit ferner in einem Fall, in welchem die Frage streitig war, ob nach KÃ¼ndigung des Anschlussvertrages die Renten beziehenden Personen bei der Sammelstiftung verbleiben oder von der neuen Vorsorgeeinrichtung zu Ã¼bernehmen sind (BGE 127 V 377 ff.). Liegt die Streitigkeit nicht im Anschlussvertrag selbst begrÃ¼ndet, sondern in einem davon zu unterscheidenden anderen VertragsverhÃ¤ltnis, wie beispielsweise einem Gesamtarbeitsvertrag, ist nicht das Berufsvorsorgegericht, sondern das Zivilgericht zustÃ¤ndig (BGE 120 V 340 ff.). Das Gleiche gilt fÃ¼r Ersatzforderungen des Arbeitgebers aus Nicht- beziehungsweise SchlechterfÃ¼llung eines Anschlussvertrages (SVR 1994 BVG Nr. 2 S. 3 = SZS 1997 S. 318; vgl. Meyer-Blaser, Die Rechtsprechung von EidgenÃ¶ssischem Versicherungsgericht und Bundesgericht zum BVG, in: SZS 1995 S. 106; s. zum Ganzen Urteil des damaligen EVG vom 10. MÃ¤rz 2004 in Sachen X. AG et. al. [B 37/03] Erw. 2, mit entsprechenden Hinweisen).</w:t>
      </w:r>
    </w:p>
    <w:p>
      <w:r>
        <w:t>2.2Â Â Â Â  Die vorliegende Streitigkeit zwischen der KlÃ¤gerin in ihrer Eigenschaft als Arbeitgeberin und der Beklagten in ihrer Funktion als Vorsorgeeinrichtung beschlÃ¤gt die berufliche Vorsorge. Der Rechtsstreit liegt in dem zwischen den Parteien abgeschlossenen Anschlussvertrag (Urk. 2/3) sowie den mit dem AnschlussverhÃ¤ltnis direkt oder indirekt zusammenhÃ¤ngenden Regelwerken (Stiftungsurkunde [Urk. 2/7], Organisationsreglement [Urk. 2/6], Kostenreglement [Urk. 2/5] und Leistungs- und Finanzierungsplan [Urk. 2/4] sowie Vorsorgereglement [Personalvorsorge-Reglement, samt Zusatzbestimmungen; Urk. 2/8]) begrÃ¼ndet, so dass auf die Klage unter dem Gesichtspunkt der sachlichen ZustÃ¤ndigkeit des hiesigen Gerichts eingetreten werden kann (vgl. Â§ 2 Abs. 2 lit. a des Gesetzes Ã¼ber das Sozialversicherungsgericht [GSVGer]).</w:t>
      </w:r>
    </w:p>
    <w:p>
      <w:r>
        <w:rPr>
          <w:b/>
        </w:rPr>
        <w:t>E. 3</w:t>
      </w:r>
    </w:p>
    <w:p>
      <w:r>
        <w:t>3.1Â Â Â Â  Im Verfahren der ursprÃ¼nglichen Verwaltungsrechtspflege gemÃ¤ss Art. 73 BVG bildet unter anderem Sachurteilsvoraussetzung, dass die klagende Partei an dem von ihr gestellten Rechtsbegehren ein Rechtsschutzinteresse hat. Wird ein Feststellungsbegehren gestellt, kann diesbezÃ¼glich ein Rechtsschutzinteresse nur bejaht werden, wenn die klagende Partei ein schutzwÃ¼rdiges Interesse rechtlicher oder tatsÃ¤chlicher Natur an der verlangten Feststellung hat, dass bestimmte Rechte oder Pflichten bestehen oder nicht bestehen; nur wenn ein unmittelbares und aktuelles Interesse in diesem Sinne gegeben ist, sind Feststellungsbegehren im Verfahren nach Art. 73 BVG zulÃ¤ssig. An einem schutzwÃ¼rdigen Interesse am Erlass eines Feststellungsentscheides fehlt es namentlich dann, wenn das Rechtsschutzinteresse der klagenden Partei durch ein rechtsgestaltendes Urteil gewahrt werden kann (BGE 132 V 21 Erw. 2.1, 128 V 48 Erw. 3a und 120 V 301 Erw. 2a, je mit Hinweisen; SZS 1998 S. 442 Erw. 3a/aa).</w:t>
      </w:r>
    </w:p>
    <w:p>
      <w:r>
        <w:t>3.2Â Â Â Â  Der vorliegende, von der KlÃ¤gerin als Kontroverse Ã¼ber die AbÃ¤nderbarkeit des Anschlussvertrages (Urk. 2/3) sowie der weiteren Regelwerke (Stiftungsurkunde [Urk. 2/7], Organisationsreglement [Urk. 2/6], Kostenreglement [Urk. 2/5] und Leistungs- und Finanzierungsplan [Urk. 2/4]) und insbesondere des Vorsorgereglements (Personalvorsorge-Reglement, samt Zusatzbestimmungen; Urk. 2/8) wÃ¤hrend laufender Vertragsdauer dargestellte Rechtsstreit dreht sich letztlich allein um die Frage, nach welchem (Mindest-)Umwandlungssatz (in Prozenten des Altersguthabens) die kÃ¼nftige Altersrente des Versicherten Dr. B.___ zu berechnen sein wird und mit welchem (Mindest-)Zinssatz dessen Altersguthaben bis dahin zu verzinsen ist, und zwar je den Ã¼berobligatorischen Teil der beruflichen Vorsorge betreffend. Nach dem wirklichen rechtlichen Gehalt der gestellten Rechtsbegehren - worauf es praxisgemÃ¤ss ankommt (in BGE 130 V 61 nicht publizierte Erw. 3.2.1 des Urteils des frÃ¼heren EVG vom 27. Oktober 2003 in Sachen M. [I 138/02]) - stehen nicht eigentliche Rechte und Pflichten aus dem AnschlussverhÃ¤ltnis zwischen der KlÃ¤gerin und der beklagten Vorsorgeeinrichtung im engeren Sinne zur Diskussion (s. Ziff 2.1 des Anschlussvertrags [Urk. 2/3] und Ziff. 1.4.2 des Vorsorgereglements [Urk. 2/8]), sondern ausschliesslich im Vorsorgereglement niedergelegte AnsprÃ¼che des Versicherten Dr. B.___ (Ziff 2.2 des Anschlussvertrags [Urk. 2/3] und Ziff. 1.4.1 des Vorsorgereglements [Urk. 2/8]). Damit betrifft der Streitgegenstand nach den dargebrachten KlagegrÃ¼nden (Urk. 1 S. 2 ff.; Urk. 13) den Regelkreis des Vorsorgereglements und nicht denjenigen des Anschlussvertrags (samt zugehÃ¶riger Normierungen: Stiftungsurkunde, Organisationsreglement, Kostenreglement sowie Leistungs- und Finanzierungsplan). So wird denn auch lediglich beilÃ¤ufig die Frage der vorzeitigen KÃ¼ndbarkeit des Anschlussvertrags (Urk. 2/3) und der einseitigen AbÃ¤nderbarkeit des Kostenreglements (Urk. 2/5) aufgeworfen, ohne diesbezÃ¼glich jedoch spezifische Feststellungsanliegen zu formulieren (vgl. schon vorprozessuale Korrespondenz: Urk. 2/10, 2/13, 2/15, 2/17 und 2/19-20).</w:t>
      </w:r>
    </w:p>
    <w:p>
      <w:r>
        <w:t>Der im Kern mithin vorab den Regelungsgegenstand das Vorsorgereglements betreffende Rechtsstreit begrÃ¼ndet nun aber kein unmittelbares und aktuelles Interesse der KlÃ¤gerin als Arbeitgeberin an der verlangten Feststellung bestimmter Rechte oder Pflichten aus dem AnschlussverhÃ¤ltnis zwischen ihr und der beklagten Vorsorgeeinrichtung. Die Frage nach den im Ã¼berobligatorischen Teil des VorsorgeverhÃ¤ltnisses mit Dr. B.___ anwendbaren Umwandlungs- und ZinssÃ¤tzen beschlÃ¤gt nicht die RechtsbestÃ¤ndigkeit des zwischen der KlÃ¤gerin und der Beklagten abgeschlossenen Anschlussvertrages, sondern ist einzig und allein Thema der im einschlÃ¤gigen Vorsorgereglement geregelten Beziehung zwischen Versichertem und Vorsorgeeinrichtung (Ziff. 2.1-2 des Anschlussvertragsvertrags [Urk. 2/3] und Ziff. 1.4.1-2 des Vorsorgereglements [Urk. 2/8]). Soweit man der beantragten Feststellung der generellen NichtabÃ¤nderbarkeit des Anschlussvertrages wÃ¤hrend laufender Vertragsdauer (Urk. 1 S. 2 Antr.-Ziff. 1) Ã¼berhaupt eine eigenstÃ¤ndige Bedeutung beimisst, erweist sich das Rechtsbegehren im Ãbrigen als so vage respektive weit gefasst, dass im Lichte der gelieferten KlagebegrÃ¼ndung kein unmittelbares und aktuelles Interesse an der begehrten umfassenden gerichtlichen Feststellung erblickt werden kann. Das allgemein auf Feststellung der NichtabÃ¤nderbarkeit des Vorsorgereglements lautende Rechtsbegehren (Urk. 1 S. 2 Antr.-Ziff. 1) geht wiederum der BegrÃ¼ndung nach ebenfalls nicht Ã¼ber die konkret zum Streit verstellte Frage der anwendbaren Umwandlungs- und VerzinsungssÃ¤tze hinaus (Urk. 1 S. 2 Antr.-Ziff. 2 und 3). Mangels eines Ã¼berschiessenden Gehalts fehlt es auch diesbezÃ¼glich an einem unmittelbaren und aktuellen Interesse an der beantragten umfassenden gerichtlichen NichtabÃ¤nderbarkeitsfeststellung. Demnach kann auf die Klage, soweit damit die Feststellung der generellen NichtabÃ¤nderbarkeit von Anschlussvertrag und Vorsorgereglement beantragt wird (Urk. 1 S. 2 Antr.-Ziff. 1), mangels eines hinreichenden Rechtsschutzinteresses nicht eingetreten werden.</w:t>
      </w:r>
    </w:p>
    <w:p>
      <w:r>
        <w:t>Was die im Vorsorgereglement geregelte Frage angeht, nach welchem Umwandlungssatz die kÃ¼nftige Ã¼berobligatorische Altersrente des am 2. Juli 1945 geborenen Versicherten Dr. B.___ (Urk. 2/21 Beilage und 14/2) zu berechnen sein wird (Urk. 1 S. 2 Antr.-Ziff. 2) und mit welchem Zinssatz dessen Ã¼berobligatorisches Altersguthaben bis dahin zu verzinsen ist (Urk. 1 S. 2 Antr.-Ziff. 3), liegt angesichts der noch bis 31. Dezember 2007 laufenden festen Vertragsdauer (Urk. 2/3-4) gewissermassen ein Schwebezustand vor, an dessen rascher Beseitigung der mit der Person des Versicherten im Sinne einer Einmann-AG eng verbundenen KlÃ¤gerin (Urk. 3/2 und 23) womÃ¶glich ein aktuelles und praktisches, mithin schÃ¼tzenswertes Interesse zugebilligt werden kÃ¶nnte, zumal hiervon die verbindliche AusÃ¼bung ihres Wahlrechts bezÃ¼glich WeiterfÃ¼hrung des Anschlussvertrages abhÃ¤ngt (AusÃ¼bung der von der Beklagten am 2. Februar 2004 eingerÃ¤umten und bei Klageanhebung am 25. August 2004 noch bis 31. Dezember 2004 intakten ausserterminlichen KÃ¼ndigungsmÃ¶glichkeit [Urk. 2/18], ausserordentliche KÃ¼ndigung, KÃ¼ndigung auf das Ende der festen Laufzeit hin oder stillschweigende VerlÃ¤ngerung). Die Frage des Rechtsschutzinteresses kann nun aber mit Blick auf die insoweit ohnehin fehlende Aktivlegitimation offen bleiben (s. dazu nachfolgend Erw. 4).</w:t>
      </w:r>
    </w:p>
    <w:p>
      <w:r>
        <w:rPr>
          <w:b/>
        </w:rPr>
        <w:t>E. 4</w:t>
      </w:r>
    </w:p>
    <w:p>
      <w:r>
        <w:t>4.1Â Â Â Â  Nach Art. 73 Abs. 1 Satz 1 BVG entscheidet das Berufsvorsorgegericht Streitigkeiten zwischen Vorsorgeeinrichtungen, Arbeitgebern und Anspruchsberechtigten, sodass ein Arbeitgeber grundsÃ¤tzlich Partei eines Berufsvorsorgeprozesses sein kann (s. oben Erw. 2.1). Ob und unter welchen Voraussetzungen ein Arbeitgeber in eigenem Namen im Interesse seiner Arbeitnehmenden AnsprÃ¼che der beruflichen Vorsorge gegenÃ¼ber der Vorsorgeeinrichtung geltend machen kann, wurde hÃ¶chstrichterlich bis anhin - soweit ersichtlich - nicht abschliessend beurteilt. Ob eine Partei als KlÃ¤gerin aufzutreten berechtigt (Aktivlegitimation) und welche Partei einzuklagen ist (Passivlegitimation), bestimmt sich nach dem materiellen Recht. GrundsÃ¤tzlich ist der TrÃ¤ger des fraglichen Rechts aktivlegitimiert, passivlegitimiert der materiell Verpflichtete, gegen den sich das Recht richtet (BGE 116 II 257 Erw. 3; vgl. auch BGE 125 III 84 Erw. 1a, 123 III 220 und 110 V 348 Erw. 1).</w:t>
      </w:r>
    </w:p>
    <w:p>
      <w:r>
        <w:t>4.2Â Â Â Â  Der Anspruch auf Berechnung der HÃ¶he der Ã¼berobligatorischen Altersrente eines DestinatÃ¤rs nach einem bestimmten, in Prozenten des Altersguthabens berechneten (Mindest-)Umwandlungssatz und Verzinsung des Ã¼berobligatorischen Altersguthabens zu einem bestimmten (Mindest-)Zinssatz richtet sich wohl gegen die Beklagte als Vorsorgeeinrichtung, steht jedoch als solcher allein dem Versicherten Dr. B.___ zu. Der KlÃ¤gerin als Arbeitgeberin kommen in diesem Zusammenhang weder nach dem BVG, dem Bundesgesetz Ã¼ber die FreizÃ¼gigkeit in der beruflichen Alters-, Hinterlassenen- und Invalidenvorsorge (FreizÃ¼gigkeitsgesetz/FZG), dem Schweizerischen Zivilgesetzbuch (ZGB) oder dem Schweizerischen Obligationenrecht (OR) noch nach dem anwendbaren, die Rechte und Pflichten der Parteien (angeschlossene Arbeitgeberin und Vorsorgeeinrichtung) regelnden Anschlussvertrag (Urk. 2/3) und den zugehÃ¶rigen Regelwerken (Stiftungsurkunde [Urk. 2/7], Organisationsreglement [Urk. 2/6], Kostenreglement [Urk. 2/5] sowie Leistungs- und Finanzierungsplan [Urk. 2/4]) materielle Rechte zu, noch wird sie darin zur ProzessfÃ¼hrung in eigenem Namen ermÃ¤chtigt. Die zur Diskussion stehenden AnsprÃ¼che sind denn auch nicht im genannten NormengefÃ¼ge, sondern vielmehr allein im einschlÃ¤gigen, ausdrÃ¼cklich die Beziehungen zwischen Versichertem und beklagter Vorsorgeeinrichtung regelnden Vorsorgereglement niedergelegt (Ziff. 2.1-2 des Anschlussvertragsvertrags [Urk. 2/3] und Ziff. 1.4.1-2 des Vorsorgereglements [Urk. 2/8]). Dass es sich bei der KlÃ¤gerin um eine mit der Person des Versicherten eng verbundene Einmann-AG handelt, verleiht ihr hinsichtlich der Festlegung der Leistungsparameter wohl ein gewisses faktisches Interesse, indessen noch keinen selbststÃ¤ndigen, zur Klage in eigenem Namen legitimierenden Anspruch. Und zwar auch nicht im Sinne einer Prozessstandschaft, worunter die Befugnis verstanden wird, anstelle des materiell Berechtigten oder Verpflichteten den Prozess in eigenem Namen und als Partei zu fÃ¼hren (RKUV 1987 Nr. K 729 S. 178, mit Hinweisen; BGE 129 III 58 und 121 III 492; vgl. KÃ¶lz/HÃ¤ner, Verwaltungsverfahren und Verwaltungsrechtspflege des Bundes, 2. Aufl., ZÃ¼rich 1998, S. 202 Rz 561; HÃ¤ner, Die Beteiligten im Verwaltungsverfahren und Verwaltungsprozess, ZÃ¼rich 2000, S. 365 Rz 785).</w:t>
      </w:r>
    </w:p>
    <w:p>
      <w:r>
        <w:t>Die Klage ist demnach, soweit man der KlÃ¤gerin ein Feststellungsinteresse hinsichtlich der mit dem Vorsorgereglement zusammenhÃ¤ngenden Fragen zubilligt, wegen fehlender Aktivlegitimation abzuweisen. Im Ãbrigen mÃ¼sste die Klage ohnedies auch aus anderen GrÃ¼nden abgewiesen werden (s. dazu nachfolgend Erw. 5).</w:t>
      </w:r>
    </w:p>
    <w:p>
      <w:r>
        <w:rPr>
          <w:b/>
        </w:rPr>
        <w:t>E. 5</w:t>
      </w:r>
    </w:p>
    <w:p>
      <w:r>
        <w:t>5.1Â Â Â Â  Die Vorsorgeeinrichtungen sind im Rahmen des BVG in der Gestaltung ihrer Leistungen, in deren Finanzierung und in ihrer Organisation frei (Art. 49 Abs. 1 BVG). GewÃ¤hrt eine Vorsorgeeinrichtung mehr als die Mindestleistungen, gelten gemÃ¤ss Art. 49 Abs. 2 BVG die in dieser Bestimmung aufgezÃ¤hlten Vorschriften. Dies bedeutet indessen nicht, dass Vorsorgeeinrichtungen, die Ã¼ber das Obligatorium hinausgehende Leistungen erbringen (sog. umhÃ¼llende Vorsorgeeinrichtungen), in der weitergehenden Vorsorge nur die in diesem Absatz ausdrÃ¼cklich vorbehaltenen Vorschriften des BVG zu beachten hÃ¤tten. Vielmehr sind sie von Verfassungs wegen (Bundesverfassung der Schweizerischen Eidgenossenschaft [BV]) auch an die GrundsÃ¤tze der Rechtsgleichheit, des WillkÃ¼rverbots und der VerhÃ¤ltnismÃ¤ssigkeit gebunden (BGE 130 V 376 Erw. 6.4, mit Hinweisen).</w:t>
      </w:r>
    </w:p>
    <w:p>
      <w:r>
        <w:t>Das Reglement als vorformulierter Inhalt des Vorsorgevertrags (welcher rechtsdogmatisch den InnominatvertrÃ¤gen zuzuordnen ist) ist nach dem Vertrauensprinzip auszulegen, wobei jedoch die den Allgemeinen Vertragsbedingungen (AVB) innewohnenden Besonderheiten zu beachten sind, wie insbesondere die so genannten Unklarheits- und UngewÃ¶hnlichkeitsregeln. Ergibt sich durch Auslegung, dass eine reglementarische Ordnung fÃ¼r eine zwischen den Parteien aufgetretene Frage keine Regelung vorsieht, muss die vertragliche Regelung vom Gericht ergÃ¤nzt werden. Beim Fehlen von dispositiven Gesetzesbestimmungen kann es das nur, indem es ermittelt, was die Parteien nach den GrundsÃ¤tzen von Treu und Glauben hÃ¤tten vereinbaren mÃ¼ssen, wenn sie den nicht geregelten Punkt in Betracht gezogen hÃ¤tten. Dabei hat sich das Gericht vom Wesen und Zweck des Vertrages leiten zu lassen und den gesamten UmstÃ¤nden des Falles Rechnung zu tragen. Diese GrundsÃ¤tze gelten auch fÃ¼r die ErgÃ¤nzung von InnominatvertrÃ¤gen und gemischten VertrÃ¤gen. FÃ¼r die Auslegung von Vorsorgereglementen sind sodann auch versicherungstechnische und -mathematische GrundsÃ¤tze von Bedeutung (BGE 132 V 278 Erw. 4.3, mit Hinweisen).</w:t>
      </w:r>
    </w:p>
    <w:p>
      <w:r>
        <w:t>5.2Â Â Â Â  Unter dem Titel "RÃ¼ckdeckung" wird im Vorsorgereglement (Urk. 2/8) die Sicherstellung der Vorsorgeleistungen durch einen Kollektiv-Lebensversicherungsvertrag bei der 'Patria' stipuliert. Dies verbunden mit dem Hinweis, dass dadurch die vom BVG vorgeschriebenen Leistungen garantiert wÃ¼rden; fÃ¼r darÃ¼ber hinausgehende Leistungen gehe die Leistungspflicht der Vorsorgeeinrichtung nicht weiter als diejenige der 'Patria', falls DeckungslÃ¼cken auf vertragswidriges Verhalten - namentlich auf Zahlungsverzug des Arbeitgebers - zurÃ¼ckzufÃ¼hren seien und diese DeckungslÃ¼cken nicht durch das VorsorgevermÃ¶gen gedeckt seien (Ziff. 1.3.1 des Vorsorgevertrags [Urk. 2/8]). Der Abschluss eines Kollektiv-Lebensversicherungsvertrags zur Deckung der Risiken Tod, ErwerbsunfÃ¤higkeit und Langlebigkeit durch die Beklagte bei der 'Patria' wird zudem bereits im Anschlussvertrag erwÃ¤hnt (Ziff. 1.3 des Anschlussvertrags [Urk. 2/3]). Laut Ziff. 8.1.1 des Vorsorgereglements (Urk. 2/8) ist fÃ¼r die Berechnung der von den projizierten Altersguthaben abhÃ¤ngigen Risikoleistungen der vom Bundesrat festgelegte Umwandlungssatz massgebend; eine Ãnderung dieses Umwandlungssatzes durch den Bundesrat bewirke eine entsprechende Anpassung der anwartschaftlichen Leistungen. GemÃ¤ss Ziff. 10.2.1 des Vorsorgereglements (Urk. 2/8) bestimmt sich die HÃ¶he der Altersrente anhand des bei der Pensionierung vorhandenen Altersguthabens; massgebend fÃ¼r die Bestimmung ist der in diesem Zeitpunkt gÃ¼ltige, vom Bundesamt fÃ¼r Privatversicherungswesen genehmigte Kollektivversicherungstarif. Ziff. 10.2.2 des Vorsorgevertrags (Urk. 2/8) bestimmt schliesslich, dass die vom Bundesrat festgelegten Berechnungsgrundlagen gewÃ¤hrleistet sind.</w:t>
      </w:r>
    </w:p>
    <w:p>
      <w:r>
        <w:t>Soweit sich die KlÃ¤gerin auf eine integrale reglementarische GewÃ¤hrleistung der bundesrÃ¤tlichen Umwandlungsgrundlagen fÃ¼r den obligatorischen und weitergehenden Teil der Altersleistungen beruft, kann ihr nicht gefolgt werden. Zwar definiert Art. 42 der Verordnung Ã¼ber die berufliche Alters-, Hinterlassenen- und Invalidenvorsorge (BVV 2) Alter, Tod und InvaliditÃ¤t als Risiken nach Art. 67 BVG und steht Ziff. 8.1.1 des Vorsorgereglements (Urk. 2/8) unter dem Titel "Umwandlungssatz fÃ¼r Risikoleistungen". Daraus kann im Lichte von Ziff. 10.2.1 des Vorsorgereglements (Urk. 2/8) jedoch nach Treu und Glauben nicht geschlossen werden, es bestimme sich die HÃ¶he der Altersrente im obligatorischen wie im Ã¼berobligatorischen Teil nach dem vom Bundesrat festgesetzten (Mindest-)Umwandlungssatz. Die Anpassung der UmwandlungssÃ¤tze an die VerhÃ¤ltnisse auf dem Finanzmarkt stellt im Ãbrigen eine dem Beitragsprimat inhÃ¤rente Vorgehensweise der Vorsorgeeinrichtungen dar. Deswegen und weil die KlÃ¤gerin - wie auch der Versicherte Dr. B.___ - schon aufgrund des Vorsorgereglements hÃ¤tten erkennen mÃ¼ssen, dass die Beklagte nur den Sparprozess autonom fÃ¼hrt, hingegen sÃ¤mtliche Risiken bei der 'Patria' rÃ¼ckversichert, konnten sie nicht von einem unabÃ¤nderbaren Umwandlungssatz im Ã¼berobligatorischen Teil ausgehen. Die Risikoabdeckung bei der 'Patria' hat zur Folge, dass diese versicherungsmÃ¤ssige LÃ¶sungen erarbeitet und das notwendige Vorgehen bestimmt. Die Sammelstiftung ist nur ein im Hinblick auf den Numerus clausus der Rechtsformen nach Art. 48 Abs. 2 BVG zwischen die anschlusspflichtige Arbeitgeberin und die Versicherungsgesellschaft gestelltes Instrument, das es erst ermÃ¶glicht, die berufliche Vorsorge nach den Vorschriften des BVG durchzufÃ¼hren. Daher sind die bei der Sammelstiftung versicherten Personen an Entscheide des RÃ¼ckversicherers, welche die Vorsorgeeinrichtung in aller Regel Ã¼bernehmen muss, gebunden. Gegen die von der Vorsorgeeinrichtung vorgesehene Herabsetzung des Umwandlungssatzes entsprechend den Vorgaben ihres RÃ¼ckversicherers ist daher grundsÃ¤tzlich nichts einzuwenden (vgl. zur Publikation in der amtlichen Sammlung bestimmtes Urteil der II. sozialrechtlichen Abteilung des Bundesgerichts vom 16. Mai 2007 in Sachen Sammelstiftung X. gegen B. [B 127/05] Erw. 3.1, mit Verweis auf BGE 127 V 377, insbes. Erw. 5c/bb und 5c/cc). Die Berechnung der kÃ¼nftigen Ã¼berobligatorischen Altersrente von Dr. B.___ nach dem sich aus dem RÃ¼ckdeckungsverhÃ¤ltnis ergebenden Umwandlungssatz (in Prozenten des Ã¼berobligatorischen Altersguthabens) stÃ¼tzt sich demnach auf eine hinreichende reglementarische Grundlage. Es bedarf dafÃ¼r unter den vorliegenden Begebenheiten keiner Ãnderung des Vorsorgereglements, so dass sich die Frage nach der Einhaltung der einschlÃ¤gigen FormalitÃ¤ten gar nicht stellt. Die GÃ¼ltigkeit des Kollektiv-Lebensversicherungstarifs der 'Patria' wird von der KlÃ¤gerin im Ãbrigen zu Recht nicht angezweifelt (s. Tarifgenehmigung durch das Bundesamt fÃ¼r Privatversicherungen vom 11. November 2003 [Urk. 9/B2]).</w:t>
      </w:r>
    </w:p>
    <w:p>
      <w:r>
        <w:t>Soweit das Rechtsschutzinteresse der KlÃ¤gerin an der feststellungsweisen KlÃ¤rung der Frage des Umwandlungssatzes bejaht und ihre Aktivlegitimation diesbezÃ¼glich als gegeben erachtet wÃ¼rde, wÃ¤re die Klage nach dem Gesagten abzuweisen.</w:t>
      </w:r>
    </w:p>
    <w:p>
      <w:r>
        <w:t>5.3Â Â Â Â  FÃ¼r den obligatorischen Teil des Altersguthabens ist in Art. 15 Abs. 2 BVG vorgesehen, dass der Bundesrat den Mindestzinssatz aufgrund der AnlagemÃ¶glichkeiten (bis 31. Dezember 2004 geltende Fassung) beziehungsweise unter BerÃ¼cksichtigung der Entwicklung der Rendite marktgÃ¤ngiger Anlagen, insbesondere der Bundesobligationen, sowie zusÃ¤tzlich der Aktien, Anleihen und Liegenschaften (seit 1. Januar 2005 geltende Fassung) festlegt. Bis 31. Dezember 2002 betrug der bundesrÃ¤tlich festgesetzte Mindestzinssatz 4 %, von 1. Januar bis 31. Dezember 2003 3.25 %, von 1. Januar bis 31. Dezember 2004 2.25 % und seit 1. Januar 2005 2.5 % (Art. 12 BVV 2). Wie der dem weitergehenden Bereich der beruflichen Vorsorge zuzurechnende Teil der Altersgutschriften zu verzinsen ist, regelt das BVG nicht. Insbesondere schreibt es den Mindestzinssatz gemÃ¤ss Art. 15 Abs. 2 BVG fÃ¼r diesen Bereich nicht vor (Art. 49 Abs. 2 BVG; vgl. auch BGE 129 V 257 Erw. 4.1 und 117 V 46 Erw. 4), so dass die Vorsorgeeinrichtungen im Rahmen der verfassungsmÃ¤ssigen Schranken frei sind, Ã¼ber die Verzinsung in ihren reglementarischen Grundlagen zu bestimmen und beispielsweise eine Verzinsung der entsprechenden Altersgutschriften unter dem Mindestzinssatz vorzusehen (vgl. Stauffer, Berufliche Vorsorge, ZÃ¼rich 2005, S. 219 Rz 581 und S. 227 Rz 604). Es stellt sich somit die Frage nach dem Inhalt und der Auslegung des die Rechtsbeziehungen zwischen der Beklagten und Dr. B.___ als DestinatÃ¤r regelnden Vorsorgereglements (Urk. 2/8; Ziff. 2.2 des Anschlussvertrags [Urk. 2/3] und Ziff. 1.4.1 des Vorsorgereglements [Urk. 2/8]).</w:t>
      </w:r>
    </w:p>
    <w:p>
      <w:r>
        <w:t>GemÃ¤ss Ziff. 7.3.1 des Vorsorgereglements (Urk. 2/8) wird das Altersguthaben mit dem vom Bundesrat festgelegten Zinssatz verzinst. Dabei wird nicht zwischen obligatorischer und weitergehender beruflicher Vorsorge unterschieden. Mangels gegenteiliger Anhaltspunkte ist diese Regelung dahingehend auszulegen, dass das angesparte Altersguthaben grundsÃ¤tzlich integral zum bundesrÃ¤tlich fÃ¼r den obligatorischen Teil festgesetzten Mindestzinssatz zu verzinsen ist. Mit Schreiben vom 15. August 2003 (Urk. 2/9) hat die Beklagte der KlÃ¤gerin allerdings einen Nachtrag zum Vorsorgereglement zuhanden der DestinatÃ¤re zukommen lassen. Danach sollte fÃ¼r die Verzinsung des Altersguthabens ab 1. Januar 2004 Folgendes gelten:</w:t>
      </w:r>
    </w:p>
    <w:p>
      <w:r>
        <w:t>Das Mindestaltersguthaben gemÃ¤ss BVG wird mit dem vom Bundesrat festgelegten Zinssatz verzinst. FÃ¼r die Verzinsung des Ã¼berobligatorischen Altersguthabens gilt ein vom Stiftungsrat festgelegter Zinssatz. Die jeweils gÃ¼ltigen ZinssÃ¤tze werden in geeigneter Form mitgeteilt.</w:t>
      </w:r>
    </w:p>
    <w:p>
      <w:r>
        <w:t>Es stellt sich mithin die Frage nach der Wirksamkeit dieser Ãnderung. Zur MÃ¶glichkeit einer AbÃ¤nderung des Vorsorgereglements wird in Ziff. 36 des Vorsorgereglements (Urk. 2/8) festgehalten was folgt:</w:t>
      </w:r>
    </w:p>
    <w:p>
      <w:r>
        <w:t>36.1.1 LeistungsansprÃ¼che richten sich nach dem im Zeitpunkt des Vorsorgefalles gÃ¼ltigen Vorsorgereglement.</w:t>
      </w:r>
    </w:p>
    <w:p>
      <w:r>
        <w:t>36.1.2 Dieses Vorsorgereglement kann im Einvernehmen mit dem Stiftungsrat und unter Wahrung der wohlerworbenen Rechte der DestinatÃ¤re durch die Vorsorgekommission geÃ¤ndert werden.</w:t>
      </w:r>
    </w:p>
    <w:p>
      <w:r>
        <w:t>Die Aufgabenausscheidung gemÃ¤ss dem - zum integrierenden Bestandteil aller Personalvorsorge-Reglemente erklÃ¤rten (Ziff. 7.1.1 des Organisationsreglements [Urk. 2/6] und Ziff. 34.2 des Vorsorgereglements [Urk. 2/8]) - Organisationsreglement sieht sodann vor, dass der paritÃ¤tischen - aus gleich vielen Arbeitnehmer- und Arbeitgebervertretern zusammengesetzten (Ziff. 1.1.1 des Organisationsreglements [Urk. 2/6] und Ziff. 34.1 des Vorsorgereglements [Urk. 2/8]) - Vorsorgekommission die Verwaltung des Vorsorgewerks obliegt, wobei ihr mitunter die Aufgabe zukommt, unter Beachtung der gesetzlichen Vorschriften (BVG) ein Personalvorsorge-Reglement zu genehmigen (Ziff. 1.4.4 lit. a des Organisationsreglements [Urk. 2/6]). Laut Ziff. 2.1.2 des Organisationsreglements (Urk. 2/6) handelt ferner der Stiftungsrat als Vorsorgekommission fÃ¼r diejenigen Vorsorgewerke, fÃ¼r welche die Zusammensetzung gemÃ¤ss Ziff. 1 des Organisationsreglements (Urk. 2/6) nicht mÃ¶glich ist (z.B. nach Aufhebung des Anschlussvertrages infolge Liquidation der angeschlossenen Arbeitgeberfirma oder bei Wegfall sÃ¤mtlicher Arbeitnehmer). Ausserdem stehen dem Stiftungsrat nach Ziff. 2.1.3 des Organisationsreglements (Urk. 2/6) die BeschlÃ¼sse Ã¼ber die nicht anderen Organen (Vorsorgekommission, Anlagekommission, GeschÃ¤ftsstelle, Kontrollstelle, Experte) zugewiesenen GeschÃ¤fte zu.</w:t>
      </w:r>
    </w:p>
    <w:p>
      <w:r>
        <w:t>Dass sich die LeistungsansprÃ¼che nach dem im Zeitpunkt des Vorsorgefalles gÃ¼ltigen Vorsorgereglement richten (Ziff. 36.1.1 des Vorsorgereglements [Urk. 2/8]), spricht klar fÃ¼r dessen grundsÃ¤tzliche AbÃ¤nderbarkeit. Zwar wird reglementarisch betreffend ÃnderungszustÃ¤ndigkeit einzig die Vorsorgekommission erwÃ¤hnt, dabei aber deutlich gemacht, dass Ãnderungen im Einvernehmen mit dem Stiftungsrat (und unter Wahrung der wohlerworbenen Rechte der DestinatÃ¤re) zu erfolgen haben (Ziff. 36.1.2 des Vorsorgereglements [Urk. 2/8]). Da der paritÃ¤tischen Vorsorgekommission in den zum integrierenden Bestandteil des Vorsorgereglements erklÃ¤rten (Ziff. 1.4.4. lit. a des Organisationsreglements [Urk. 2/6]) organisatorischen Bestimmungen lediglich eine GenehmigungszustÃ¤ndigkeit (unter Beachtung der gesetzlichen Vorschriften) eingerÃ¤umt (Ziff. 34.1-2 des Vorsorgereglements [Urk. 2/8]), im Ãbrigen aber eine weit gefasste AuffangzustÃ¤ndigkeit des Stiftungsrats stipuliert wird (Ziff. 2.1.3 des Organisationsreglements [Urk. 2/6]), ist davon auszugehen, dass nebst der auf Einvernehmlichkeit beschrÃ¤nkten ÃnderungszustÃ¤ndigkeit der Vorsorgekommission auch eine umfassende Ãnderungsbefugnis des Stiftungsrats gegeben ist. Folgerichtig hat die Beklagte mit Mitteilungsschreiben vom 15. August 2003 (Urk. 2/9) denn auch lediglich um BestÃ¤tigung des Erhalts des Reglementsnachtrags mittels beigelegtem Formular und administrative Mitwirkung bei der Orientierung der Betroffenen gebeten. Streng genommen fehlt es auf Seiten der als Einmann-AG operierenden KlÃ¤gerin ohnehin an einer ordnungsgemÃ¤ss bestellten und konstituierten paritÃ¤tischen Vorsorgekommission, so dass der Stiftungsrat eine in deren ZustÃ¤ndigkeit fallende konstitutive Genehmigung der ReglementsÃ¤nderung jedenfalls auch selbst hÃ¤tte erteilen kÃ¶nnen (Ziff. 2.1.2 des Organisationsreglements [Urk. 2/6]). Hinzu kommt, dass die Verzinsung, die auf dem Ã¼berobligatorischen Sparkapital ausgerichtet wird, im Interesse der nachhaltigen Sicherstellung des Vorsorgezwecks der finanziellen Lage der Vorsorgeeinrichtung angepasst werden darf beziehungsweise muss. Denn bei einer Vorsorgeeinrichtung mÃ¼ssen Ausgaben und Einnahmen grundsÃ¤tzlich im Gleichgewicht stehen. Zinsen kÃ¶nnen deshalb wirtschaftlich nur ausgerichtet werden, soweit die VerhÃ¤ltnisse auf dem Kapitalmarkt einen VermÃ¶gensertrag zulassen, es sei denn, es wÃ¼rden andere zusÃ¤tzliche Einnahmen erschlossen oder die Zinsen kÃ¶nnten aus freien Mitteln finanziert werden (BGE 132 V 278 Erw. 4.6, mit Hinweis auf BGE 130 II 264 f.). Damit erweist sich die von der Beklagten vorgesehene und teilweise realisierte Ãnderung der VerzinsungsmodalitÃ¤ten in jedem Fall und unbesehen der reglementarischen ZustÃ¤ndigkeitsordnung als gerechtfertigt, zumal der Umstand zeitweiliger FinanzierungslÃ¼cken und das Zustandekommen der entsprechenden StiftungsratsbeschlÃ¼sse von der KlÃ¤gerin nicht ernsthaft in Frage gestellt wird.</w:t>
      </w:r>
    </w:p>
    <w:p>
      <w:r>
        <w:t>Soweit das Rechtsschutzinteresse der KlÃ¤gerin an der feststellungsweisen KlÃ¤rung der Verzinsungsfrage bejaht und ihre Aktivlegitimation diesbzÃ¼glich als gegeben erachtet wÃ¼rde, wÃ¤re die Klage mithin auch in diesem Punkt abzuweisen.</w:t>
      </w:r>
    </w:p>
    <w:p>
      <w:r>
        <w:rPr>
          <w:b/>
        </w:rPr>
        <w:t>E. 6</w:t>
      </w:r>
    </w:p>
    <w:p>
      <w:r>
        <w:t>Zusammengefasst fÃ¼hrt dies zur kosten- und entschÃ¤digungsfreien Abweisung der Klage, soweit darauf Ã¼berhaupt eingetreten werden kann (Art. 73 Abs. 2 BVG in Verbindung mit Â§ 33 f. GSVGer). Art. 73 Abs. 2 BVG schliesst einen Anspruch der obsiegenden VersicherungstrÃ¤gerin zwar nicht aus. Indes werden den TrÃ¤gern der beruflichen Vorsorge gemÃ¤ss BVG beziehungsweise den mit Ã¶ffentlichrechtlichen Aufgaben betrauten Organisationen in Anlehnung an die Rechtsprechung zu Art. 159 Abs. 2 des bis Ende 2006 in Kraft gestandenen Bundesgesetzes Ã¼ber die Organisation der Bundesrechtspflege (Bundesrechtspflegegesetz/OG) praxisgemÃ¤ss keine ParteientschÃ¤digungen zugesprochen. Es besteht kein Grund, bei der Beklagten in ihrer Eigenschaft als umhÃ¼llende Vorsorgeeinrichtung anders zu verfahren (vgl. BGE 128 V 133 Erw. 5b, 126 V 150 Erw. 4a, 118 V 169 Erw. 7 und 117 V 349 Erw. 8, mit Hinweisen).</w:t>
      </w:r>
    </w:p>
    <w:p>
      <w:r>
        <w:t>Das Gericht erkennt:</w:t>
      </w:r>
    </w:p>
    <w:p>
      <w:r>
        <w:t>1.Â Â Â Â Â Â Â Â  Die Klage wird abgewiesen, soweit darauf eingetreten wird.</w:t>
      </w:r>
    </w:p>
    <w:p>
      <w:r>
        <w:t>2.Â Â Â Â Â Â Â Â  Das Verfahren ist kostenlos.</w:t>
      </w:r>
    </w:p>
    <w:p>
      <w:r>
        <w:t>3.Â Â Â Â Â Â Â Â  Der Beklagten wird keine ProzessentschÃ¤digung zugesprochen.</w:t>
      </w:r>
    </w:p>
    <w:p>
      <w:r>
        <w:t>4. Zustellung gegen Empfangsschein an:</w:t>
      </w:r>
    </w:p>
    <w:p>
      <w:r>
        <w:t>- Rechtsanwalt Dr. Hans J. Rohrer</w:t>
      </w:r>
    </w:p>
    <w:p>
      <w:r>
        <w:t>- Swisscanto Sammelstiftung der Kantonalbanken, unter Beilage des Doppels von Urk. 25 sowie einer Kopie von Urk. 26</w:t>
      </w:r>
    </w:p>
    <w:p>
      <w:r>
        <w:t>- Bundesamt fÃ¼r Sozialversicherungen (BSV)</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