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BV.2004.00086 vom 6. Dezember 2004</w:t>
      </w:r>
    </w:p>
    <w:p>
      <w:r>
        <w:t>ZH Sozialversicherungsgericht, 2004-12-06, DE</w:t>
      </w:r>
    </w:p>
    <w:p>
      <w:r>
        <w:rPr>
          <w:b/>
        </w:rPr>
        <w:t xml:space="preserve">Quelle: </w:t>
      </w:r>
      <w:r>
        <w:t>https://mcp.opencaselaw.ch/entscheid/zh_sozialversicherungsgericht_BV.2004.00086</w:t>
      </w:r>
    </w:p>
    <w:p>
      <w:r>
        <w:t>FR: ZH_SOZIALVERSICHERUNGSGERICHT BV.2004.00086 du 6 décembre 2004</w:t>
      </w:r>
    </w:p>
    <w:p>
      <w:r>
        <w:t>IT: ZH_SOZIALVERSICHERUNGSGERICHT BV.2004.00086 del 6 dicembre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In tatsÃ¤chlicher Hinsicht steht fest, dass der KlÃ¤ger in den Jahren 1991 bis 1995 im Auftrag und im Namen der Beigeladenen Informatik-Kurse und -Seminare durchfÃ¼hrte. Er arbeitete in diesem Zeitraum offenbar ausschliesslich fÃ¼r die Beigeladene, irgendwelche andere geschÃ¤ftliche AktivitÃ¤ten sind nicht bekannt und werden vom KlÃ¤ger auch explizit verneint (vgl. Urk. 11 S. 4 Ziff. 4.b/bb). Die fÃ¼r die Abwicklung dieser AuftrÃ¤ge abgeschlossenen RahmenvertrÃ¤ge (Urk. 2/2/13-14) enthalten einige ModalitÃ¤ten fÃ¼r die AuftragserfÃ¼llung. So wird etwa festgelegt, dass der KlÃ¤ger gegenÃ¼ber den Mandanten als externer Spezialist eingefÃ¼hrt wird und die Kurse unter dem Namen des Auftraggebers, also der Beigeladenen, durchzufÃ¼hren sind (Urk. 2/2/13 Ziff. 2 und 3.1). Weitere Bestimmungen betreffen Datenschutz, Konkurrenzverbot oder Urheberrechte. Der KlÃ¤ger rechnete nach Aufwand, d.h. zu einer festgelegten Tagespauschale ab (vgl. Urk. Urk. 2/2/13 Ziff. 6 und Anhang C; Urk. 2/2/17-18). Nach Auslaufen des zweiten Rahmenvertrages am 1. April 1994 (vgl. Urk. 2/2/14 Anhang A Ziff. A.4) fÃ¼hrte der KlÃ¤ger weitere Kurse als sogenannte EinzelauftrÃ¤ge aus. Ob damit auch eine stillschweigende VerlÃ¤ngerung des Rahmenvertrages vereinbart wurde, wie der KlÃ¤ger behauptet (Urk. 11 S. 5 Ziff. 5), kann vorderhand dahingestellt bleiben.</w:t>
      </w:r>
    </w:p>
    <w:p>
      <w:r>
        <w:t>3.2Â Â Â Â  Aus den Akten ergibt sich weiter, dass die Beigeladene dem KlÃ¤ger jedes Jahr einen Lohnausweis ausstellte (Urk. 17/5) und mit der Ausgleichskasse SozialversicherungsbeitrÃ¤ge abrechnete (IK-AuszÃ¼ge, Urk. 17/8). Die Beklagte fÃ¼hrt dazu aus, die Ausstellung von Lohnausweisen sei aus ablauftechnischen GrÃ¼nden und der Einfachheit halber erfolgt. Dabei seien immer die Arbeitnehmer- und ArbeitgeberbeitrÃ¤ge vom Honorar des KlÃ¤gers in Abzug gebracht und mit der Ausgleichskasse abgerechnet worden. Eine solche Vorgehensweise sei bei IT-Freelancern Ã¼blich gewesen und von der Ausgleichskasse auch so verlangt worden (Urk. 16 S. 6 Ziff. 3 und 4). Das EVG sah in diesem Vorgang einen gewichtigen Anhaltspunkt dafÃ¼r, dass der KlÃ¤ger - trotz des privatrechtlich als Auftrag umschriebenen VertragsverhÃ¤ltnisses - berufsvorsorgerechtlich mÃ¶glicherweise als Arbeitnehmer zu qualifizieren sei (Urk. 2/32 Erw. 4.3). Die Beklagte vermag dieses Indiz mit ihren AusfÃ¼hrungen nicht Ã¼berzeugend zu entkrÃ¤ften. Im Verkehr mit der Ausgleichskasse behandelte die Beigeladene den KlÃ¤ger als Arbeitnehmer und rechnete die entsprechenden paritÃ¤tischen BeitrÃ¤ge ab, intern betrachtete sie ihn aber als SelbstÃ¤ndigerwerbenden und zog die "ArbeitgeberbeitrÃ¤ge" wieder vom Honorar ab. Dieses inkonsequente Verhalten - welches im Ãbrigen zur Folge hatte, dass der KlÃ¤ger als SelbstÃ¤ndigerwerbender zu hohe BeitrÃ¤ge entrichtete (vgl. z.B. Lohnabrechnung 1994, AbzÃ¼ge 12,1 % inkl. ALV-BeitrÃ¤ge, Urk. 17/5) - lÃ¤sst zumindest den Schluss zu, dass die Beigeladene die beitragsrechtliche Stellung des KlÃ¤gers nie eingehend klÃ¤rte und Ã¼ber Jahre ein unklares und widersprÃ¼chliches Abrechnungssystem betrieb.</w:t>
      </w:r>
    </w:p>
    <w:p>
      <w:r>
        <w:rPr>
          <w:b/>
        </w:rPr>
        <w:t>E. 3.3</w:t>
      </w:r>
    </w:p>
    <w:p>
      <w:r>
        <w:t>Entscheidender als die formelle Behandlung des Honorars durch die Beigeladene sind fÃ¼r die Qualifikation der TÃ¤tigkeit des KlÃ¤gers bei der Beigeladenen die wirtschaftlichen und arbeitsorganisatorischen UmstÃ¤nde. Aus den Bestimmungen der RahmenvertrÃ¤ge und ihrer AnhÃ¤nge geht hervor, dass der KlÃ¤ger von der Beigeladenen entwickelte Seminare in deren Namen durchfÃ¼hrte. Mit der Akquisition der Teilnehmer hatte er offenbar nichts zu tun. Ebenso ist davon auszugehen, dass die Beigeladene die jeweiligen LokalitÃ¤ten mit der notwendigen Infrastruktur bereitstellte oder organisierte. Einig sind sich die Parteien darÃ¼ber, dass der KlÃ¤ger keine Investitionen zu tÃ¤tigen hatte (Urk. 16 S. 10; Urk. 11 S. 4). Ein spezifisches Unternehmerrisiko bestand somit nicht. Der KlÃ¤ger verfÃ¼gte weder Ã¼ber eigene GeschÃ¤ftsrÃ¤umlichkeiten noch beschÃ¤ftigte er Angestellte. Ein gewisses wirtschaftliches Risiko kann immerhin darin erblickt werden, dass die RahmenvertrÃ¤ge dem KlÃ¤ger keinen Rechtsanspruch auf AuftrÃ¤ge in einem bestimmten Umfang gaben.</w:t>
      </w:r>
    </w:p>
    <w:p>
      <w:r>
        <w:t>Â Â Â Â Â Â Â Â  In arbeitsorganisatorischer Hinsicht besteht die Beklagte darauf, dass der KlÃ¤ger betrieblich nicht in die Beigeladene eingebunden gewesen sei und kein UnterordnungsverhÃ¤ltnis bestanden habe (Urk. 16 S. 9). In der Tat gibt es Elemente, welche auf eine gewisse UnabhÃ¤ngigkeit hindeuten. So wurde der KlÃ¤ger - innerhalb oder ausserhalb der RahmenvertrÃ¤ge - fÃ¼r jeden Auftrag einzeln verpflichtet und verfÃ¼gte bei der Beigeladenen Ã¼ber keinen festen Arbeitsplatz. Zu Recht weist die Beklagte auch darauf hin, dass von einer eigentlichen Weisungsbefugnis in Bezug auf die DurchfÃ¼hrung der Kurse keine Rede sein kann (vgl. Urk. 16 S. 11), enthalten doch die RahmenvertrÃ¤ge lediglich den fÃ¼r AuftrÃ¤ge typischen Hinweis auf die nach der beruflichen Ausbildung und Erfahrung in Sorgfalt und ZuverlÃ¤ssigkeit durchzufÃ¼hrenden Aufgaben (vgl. Urk. 2/2/14 Ziff. 1.1 S. 3). Andererseits sind auch Elemente erkennbar, die eher in Richtung Unter- und Einordnung in den Betrieb der Beigeladenen weisen. So hatte der KlÃ¤ger die Kurse unter dem Namen der Beigeladenen abzuwickeln (vgl. Urk. 2/2/14 Ziff. 5.1 S. 5). Im Weiteren und im Gegensatz zu der von der Beklagten zitierten Rechtsprechung des EVG zur beitragsrechtlichen Qualifikation von "IT-Freelancern" (Urteil des EVG in Sachen X. AG und B. vom 3. Juni 2002, H 58/01) war im vorliegenden Fall der Arbeitseinsatz des KlÃ¤gers nicht zeitlich und umfangmÃ¤ssig frei gestaltbar, sondern an die vorgegebenen Seminardaten gebunden. Dies bedingt naturgemÃ¤ss eine teilweise Einbindung in die Organisation der Beigeladenen, anders wÃ¤ren derartige Kurse mit externen Teilnehmern nicht durchfÃ¼hrbar.</w:t>
      </w:r>
    </w:p>
    <w:p>
      <w:r>
        <w:t>3.4Â Â Â Â  Die vorstehenden AusfÃ¼hrungen zeigen, dass sich der beitragsrechtliche Status des KlÃ¤gers nicht eindeutig einordnen lÃ¤sst. In einer Gesamtbetrachtung fÃ¤llt ins Gewicht, dass der KlÃ¤ger Ã¼ber den ganzen hier massgebenden Zeitraum bei der Ausgleichskasse als UnselbstÃ¤ndiger gemeldet war und bei seiner TÃ¤tigkeit als Seminarleiter kein spezifisches Unternehmerrisiko zu tragen hatte. Da auch in arbeitsorganisatorischer Hinsicht eine gewisse AbhÃ¤ngigkeit von der Beigeladenen bestand, muss der KlÃ¤ger fÃ¼r seine TÃ¤tigkeit bei der Beigeladenen aus AHV-rechtlicher Sicht als unselbstÃ¤ndig Erwerbender betrachtet werden.</w:t>
      </w:r>
    </w:p>
    <w:p>
      <w:r>
        <w:t>4.Â Â Â Â Â Â  Zu prÃ¼fen bleibt, ob der KlÃ¤ger im Zeitpunkt des Eintritts der relevanten ArbeitsunfÃ¤higkeit (Februar 1995, vgl. Urk. 2/32 Erw. 4.3 1. Satz) der obligatorischen beruflichen Vorsorge unterstand.</w:t>
      </w:r>
    </w:p>
    <w:p>
      <w:r>
        <w:t>Â Â Â Â Â Â Â Â  Nach dem Auslaufen des Rahmenvertrages vom 23. April 1993 im April 1994 (vgl. Urk. 2/2/14 Anhang A) erfolgten die EinsÃ¤tze bis 1995 als EinzelauftrÃ¤ge (Urk. 2/2/19-20). Es bestand damit keine Zusicherung wiederholter EinsÃ¤tze. Selbst unter den RahmenvertrÃ¤gen war die Annullation vorgesehener Seminare bis vier Wochen vor Beginn ohne Kostenfolge mÃ¶glich (Urk. 2/2/14 Anhang B). Der KlÃ¤ger seinerseits hatte das Recht, vorgeschlagene Kurse abzulehnen. Entgegen den AusfÃ¼hrungen des KlÃ¤gers (Urk. 11 S. 2) wurde er nicht zu Kursen "aufgeboten", sondern die Termine wurden vertraglich mindestens ein Monat zum Voraus festgelegt (vgl. Urk. 2/2/19-20). Aus diesem Grund kann dem KlÃ¤ger nicht gefolgt werden, der das ArbeitsverhÃ¤ltnis als "Arbeit auf Abruf" qualifiziert (Urk. 11 S. 2). Vielmehr ist die zur Diskussion stehende Arbeitsbeziehung zwischen der Beigeladenen und dem KlÃ¤ger sinngemÃ¤ss als Aushilfs- oder Gelegenheitsarbeitsvertrag ohne Arbeitszuweisungspflicht zu betrachten (vgl. dazu Streiff/von Kaenel, Arbeitsvertrag, ZÃ¼rich 1992, N 19 zu Art. 319 OR). Diese Einordnung hat zur Folge, dass der KlÃ¤ger nur wÃ¤hrend seiner effektiven BeschÃ¤ftigungszeiten (AHV-rechtlich) als Arbeitnehmer zu behandeln ist. In den Zwischenzeiten bestanden weder arbeits- noch sozialversicherungsrechtlich relevante Beziehungen zur Beigeladenen, was sich im Ãbrigen auch darin zeigt, dass der KlÃ¤ger frei war, jederzeit andere AuftrÃ¤ge anzunehmen.</w:t>
      </w:r>
    </w:p>
    <w:p>
      <w:r>
        <w:t>Â Â Â Â Â Â Â Â  Im Jahre 1994 gab der KlÃ¤ger zwei Seminare fÃ¼r die Z.___ AG, nÃ¤mlich vom 6.-24. Juni und vom 7.-25. November 1994 (Urk. 2/2/19/1-3).</w:t>
      </w:r>
    </w:p>
    <w:p>
      <w:r>
        <w:t>Â Â Â Â Â Â Â Â  Im Jahre 1995 fÃ¼hrte der KlÃ¤ger einzig vom 14.-30. August ein Seminar durch (Urk. 2/2/20). Die ArbeitsverhÃ¤ltnisse dauerten somit weniger als drei Monate, weshalb er wÃ¤hrend dieser Zeit nicht der obligatorischen Berufsvorsorgpflicht unterstand (Art. 1 Abs. 1 lit. b BVV2). Zudem war der KlÃ¤ger im Zeitpunkt des Eintritts der ArbeitsunfÃ¤higkeit im Februar 1995 auch AHV-rechtlich nicht Arbeitnehmer der Beigeladenen, weshalb in diesem Zeitpunkt keine Versicherungspflicht bestand.</w:t>
      </w:r>
    </w:p>
    <w:p>
      <w:r>
        <w:rPr>
          <w:b/>
        </w:rPr>
        <w:t>E. 5</w:t>
      </w:r>
    </w:p>
    <w:p>
      <w:r>
        <w:t>GestÃ¼tzt auf vorstehende ErwÃ¤gungen ist festzuhalten, dass bei Eintritt der ArbeitsunfÃ¤higkeit im Februar 1995 kein berufsvorsorgerechtlich relevantes AnstellungsverhÃ¤ltnis bei der Beigeladenen bestand, weshalb die Klage abzuweisen ist.</w:t>
      </w:r>
    </w:p>
    <w:p>
      <w:r>
        <w:t>6.Â Â Â Â Â Â  Die obsiegende Vorsorgeeinrichtung als eine mit einer Ã¶ffentlichrechtlichen Aufgabe betraute Organisation hat in der Regel keinen Anspruch auf ParteientschÃ¤digung (BGE 118 V 169 f. Erw. 7). In der vorliegenden Streitsache besteht kein Anlass, von dieser Regel abzuweichen. Da die Beigeladene von demselben Rechtsvertreter wie die Beklagte vertreten war, entstanden ihr keine zusÃ¤tzlichen Kosten, weshalb auch von einer ParteientschÃ¤digung an sie abzusehen ist.</w:t>
      </w:r>
    </w:p>
    <w:p>
      <w:r>
        <w:t>Das Gericht erkennt:</w:t>
      </w:r>
    </w:p>
    <w:p>
      <w:r>
        <w:t>1.Â Â Â Â Â Â Â Â  Die Klage wird abgewiesen.</w:t>
      </w:r>
    </w:p>
    <w:p>
      <w:r>
        <w:t>2.Â Â Â Â Â Â Â Â  Das Verfahren ist kostenlos.</w:t>
      </w:r>
    </w:p>
    <w:p>
      <w:r>
        <w:t>3.Â Â Â Â Â Â Â Â  Der Beklagen und der Beigeladenen wird keine ProzessentschÃ¤digung zugesprochen.</w:t>
      </w:r>
    </w:p>
    <w:p>
      <w:r>
        <w:t>4. Zustellung gegen Empfangsschein an:</w:t>
      </w:r>
    </w:p>
    <w:p>
      <w:r>
        <w:t>- Procap Schweizerischer Invaliden-Verband</w:t>
      </w:r>
    </w:p>
    <w:p>
      <w:r>
        <w:t>- Rechtsanwalt Dr. Daniel Candrian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