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BV.2004.00042 vom 30. September 2005</w:t>
      </w:r>
    </w:p>
    <w:p>
      <w:r>
        <w:t>ZH Sozialversicherungsgericht, 2005-09-30, DE</w:t>
      </w:r>
    </w:p>
    <w:p>
      <w:r>
        <w:rPr>
          <w:b/>
        </w:rPr>
        <w:t xml:space="preserve">Quelle: </w:t>
      </w:r>
      <w:r>
        <w:t>https://mcp.opencaselaw.ch/entscheid/zh_sozialversicherungsgericht_BV.2004.00042</w:t>
      </w:r>
    </w:p>
    <w:p>
      <w:r>
        <w:t>FR: ZH_SOZIALVERSICHERUNGSGERICHT BV.2004.00042 du 30 septembre 2005</w:t>
      </w:r>
    </w:p>
    <w:p>
      <w:r>
        <w:t>IT: ZH_SOZIALVERSICHERUNGSGERICHT BV.2004.00042 del 30 settembre 2005</w:t>
      </w:r>
    </w:p>
    <w:p>
      <w:pPr>
        <w:pStyle w:val="Heading2"/>
      </w:pPr>
      <w:r>
        <w:t>Erwägungen</w:t>
      </w:r>
    </w:p>
    <w:p>
      <w:r>
        <w:rPr>
          <w:b/>
        </w:rPr>
        <w:t>E. 1</w:t>
      </w:r>
    </w:p>
    <w:p>
      <w:r>
        <w:t>1.1Â Â Â Â  GemÃ¤ss Art. 49 Abs. 1 des Bundesgesetzes Ã¼ber die berufliche Alters-, Hinterlassenen- und Invalidenvorsorge (BVG) sind die Vorsorgeeinrichtungen im Rahmen dieses Gesetzes in der Gestaltung ihrer Leistungen, in deren Finanzierung und Organisation frei. GewÃ¤hrt eine Vorsorgeeinrichtung mehr als die Mindestleistungen, so finden gemÃ¤ss Art. 49 Abs. 2 BVG (sowohl in der derzeit geltenden Fassung als auch in der bis Ende MÃ¤rz 2004 gÃ¼ltig gewesenen Version) fÃ¼r die weitergehende Vorsorge lediglich gewisse - in casu nicht relevante - Gesetzesbestimmungen Anwendung.</w:t>
      </w:r>
    </w:p>
    <w:p>
      <w:r>
        <w:rPr>
          <w:b/>
        </w:rPr>
        <w:t>E. 1.2</w:t>
      </w:r>
    </w:p>
    <w:p>
      <w:r>
        <w:t>WÃ¤hrend das RechtsverhÃ¤ltnis zwischen Vorsorgeeinrichtung und versicherter Person im obligatorischen Bereich unmittelbar durch die gesetzlichen Normen insbesondere des BVG bestimmt ist, handelt es sich beim VorsorgeverhÃ¤ltnis im Ã¼berobligatorischen Bereich um einen Innominatvertrag (eigener Art) zwischen der Vorsorgeeinrichtung und der versicherten Person (BGE 122 V 145 Erw. 4b mit Hinweisen). InnominatvertrÃ¤ge sind VertrÃ¤ge, die gesetzlich nicht besonders geregelt, und auf die daher in erster Linie die Vorschriften des allgemeinen Teils des Obligationenrechts (OR) anzuwenden sind. In Art. 49 Abs. 2 BVG werden - wie ausgefÃ¼hrt - diejenigen Vorschriften des BVG aufgefÃ¼hrt, an welche die Vorsorgeeinrichtungen im Ã¼berobligatorischen Bereich gebunden sind.</w:t>
      </w:r>
    </w:p>
    <w:p>
      <w:r>
        <w:t>Dies bedeutet aber nicht, dass die Vorsorgeeinrichtungen bei der DurchfÃ¼hrung der Ã¼berobligatorischen Versicherungen nur die in Art. 49 Abs. 2 BVG ausdrÃ¼cklich vorbehaltenen Vorschriften zu beachten hÃ¤tten. Vielmehr sind die Vorsorgeeinrichtungen bei der materiellen Gestaltung und DurchfÃ¼hrung der Ã¼berobligatorischen Versicherung von Verfassung wegen insbesondere an die allgemeinen RechtsgrundsÃ¤tze der Rechtsgleichheit, des WillkÃ¼rverbots, der VerhÃ¤ltnismÃ¤ssigkeit und an den Grundsatz des Handelns nach Treu und Glauben gebunden (vgl. Hermann Walser, Weitergehende berufliche Vorsorge, in SBVR/Soziale Sicherheit, Basel/Genf/MÃ¼nchen 1998, N 142 mit Hinweisen auf die Rechtsprechung).</w:t>
      </w:r>
    </w:p>
    <w:p>
      <w:r>
        <w:t>1.3Â Â Â Â  Die Auslegung des Reglements einer Vorsorgeeinrichtung als vorformulierter Inhalt des Vorsorgevertrages geschieht nach dem Vertrauensprinzip (vgl. dazu BGE 122 V 146 Erw. 4c). Dabei sind auch die den Allgemeinen Bedingungen innewohnenden Besonderheiten zu beachten, namentlich die sogenannten Unklarheits- und UngewÃ¶hnlichkeitsregeln (BGE 116 V 222 Erw. 2; SZS 1995 S. 51 und 1994 S. 205 Erw. 3c; zu den Auslegungsregeln vgl. ferner Alfred Koller, Schweizerisches Obligationenrecht, Allgemeiner Teil, Bd. I, Bern 1996, Nr. 1580 ff., 1605 ff.). Nach diesen AuslegungsgrundsÃ¤tzen gilt es ausgehend vom Wortlaut und unter BerÃ¼cksichtigung des Zusammenhanges, in dem eine streitige Bestimmung innerhalb des Reglements als Ganzem steht, den objektiven Vertragswillen zu ermitteln, den die Parteien mutmasslich gehabt haben. Dabei hat das Gericht zu berÃ¼cksichtigen, was sachgerecht ist, weil nicht angenommen werden kann, dass die Parteien eine unvernÃ¼nftige LÃ¶sung gewollt haben (Kramer, Berner Kommentar, Bd. VI/1, N. 42 zu Art. 18 OR). Sodann sind nach konstanter Rechtsprechung mehrdeutige Wendungen in vorformulierten Vertragsbedingungen im Zweifel zu Lasten ihres Verfassers auszulegen (BGE 120 V 452 Erw. 5a, 119 II 373 Erw. 4b mit Hinweisen; JÃ¤ggi/Gauch, ZÃ¼rcher Kommentar, Bd. V/1b, N 451 ff. zu Art. 18 OR).</w:t>
      </w:r>
    </w:p>
    <w:p>
      <w:r>
        <w:t>Steht eine im Einzelfall getroffene vorsorgevertragliche Abrede in Frage, ist nach den gewÃ¶hnlichen Regeln der Vertragsauslegung zunÃ¤chst nach dem Ã¼bereinstimmenden wirklichen (subjektiven) Parteiwillen (Art. 18 Abs. 1 OR) zu suchen. LÃ¤sst sich ein Ã¼bereinstimmender Wille der Parteien nicht feststellen, so sind deren ErklÃ¤rungen ebenfalls nach dem Vertrauensprinzip auszulegen. Danach sind WillenserklÃ¤rungen so zu deuten, wie sie vom EmpfÃ¤nger in guten Treuen verstanden werden durften und mussten (anstatt vieler: BGE 121 III 123 Erw. 4b/aa mit Hinweisen).</w:t>
      </w:r>
    </w:p>
    <w:p>
      <w:r>
        <w:rPr>
          <w:b/>
        </w:rPr>
        <w:t>E. 2</w:t>
      </w:r>
    </w:p>
    <w:p>
      <w:r>
        <w:t>2.1Â Â Â Â  Der KlÃ¤ger fÃ¼hrte zur BegrÃ¼ndung der Klage im Wesentlichen aus, dass Art. 43 VSR (ÂZuschuss bei fehlenden IV-LeistungenÂ) auch im Lichte von Art. 39 VSR (ÂPensionsanspruch bei vollstÃ¤ndiger AuflÃ¶sung des ArbeitsverhÃ¤ltnissesÂ) auszulegen sei. Art. 43 Abs. 3 VSR halte fest, dass der Zuschuss bis zum Beginn des Anspruchs auf ein Taggeld der IV beziehungsweise auf eine Rente der IV oder AHV ausgerichtet werde. Die explizite Nennung Â...oder AHVÂ leite sich von Art. 39 Abs. 2 VSR ab, der die Gleichstellung der BerufsinvaliditÃ¤t mit der ErwerbsinvaliditÃ¤t festhalte.</w:t>
      </w:r>
    </w:p>
    <w:p>
      <w:r>
        <w:rPr>
          <w:b/>
        </w:rPr>
        <w:t>E. 2.2</w:t>
      </w:r>
    </w:p>
    <w:p>
      <w:r>
        <w:t>DemgegenÃ¼ber fÃ¼hrte die Beklagte im Wesentlichen aus, dass dem KlÃ¤ger zwar gestÃ¼tzt auf Art. 39 VSR wegen BerufsinvaliditÃ¤t eine unbefristete volle Pension ausgerichtet werde. Daraus zu schliessen, dass dies auch einen Anspruch auf einen Zuschuss in HÃ¶he der maximalen IV-Rente im Sinne von Art. 43 VSR bis zur Erreichung des AHV-Alters auslÃ¶se, sei jedoch falsch. Die Ausrichtung des Zuschusses bei fehlenden IV-Leistungen bezwecke, die Zeit bis zum Entscheid der IV zu Ã¼berbrÃ¼cken. Zudem solle ein Ausgleich geschaffen werden fÃ¼r FÃ¤lle, in denen die IV-Rente kleiner als der festgestellte ErwerbsinvaliditÃ¤tsgrad sei. Nicht vorgesehen sei hingegen, dass allgemein ein Zuschuss ausgerichtet werde, wenn die IV keine Leistungen erbringe. Es wÃ¼rde dem System von Art. 43 VSR zuwiderlaufen, einem Versicherten trotz abschlÃ¤gigem IV-Entscheid weiterhin einen Zuschuss zu gewÃ¤hren.</w:t>
      </w:r>
    </w:p>
    <w:p>
      <w:r>
        <w:rPr>
          <w:b/>
        </w:rPr>
        <w:t>E. 3</w:t>
      </w:r>
    </w:p>
    <w:p>
      <w:r>
        <w:t>Zustellung gegen Empfangsschein an:</w:t>
      </w:r>
    </w:p>
    <w:p>
      <w:r>
        <w:t>- A.___</w:t>
      </w:r>
    </w:p>
    <w:p>
      <w:r>
        <w:t>- Pensionskasse Stadt ZÃ¼rich</w:t>
      </w:r>
    </w:p>
    <w:p>
      <w:r>
        <w:t>- Bundesamt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