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BV.2003.00152 vom 19. Januar 2005</w:t>
      </w:r>
    </w:p>
    <w:p>
      <w:r>
        <w:t>ZH Sozialversicherungsgericht, 2005-01-19, DE</w:t>
      </w:r>
    </w:p>
    <w:p>
      <w:r>
        <w:rPr>
          <w:b/>
        </w:rPr>
        <w:t xml:space="preserve">Quelle: </w:t>
      </w:r>
      <w:r>
        <w:t>https://mcp.opencaselaw.ch/entscheid/zh_sozialversicherungsgericht_BV.2003.00152</w:t>
      </w:r>
    </w:p>
    <w:p>
      <w:r>
        <w:t>FR: ZH_SOZIALVERSICHERUNGSGERICHT BV.2003.00152 du 19 janvier 2005</w:t>
      </w:r>
    </w:p>
    <w:p>
      <w:r>
        <w:t>IT: ZH_SOZIALVERSICHERUNGSGERICHT BV.2003.00152 del 19 gennaio 2005</w:t>
      </w:r>
    </w:p>
    <w:p>
      <w:pPr>
        <w:pStyle w:val="Heading2"/>
      </w:pPr>
      <w:r>
        <w:t>Erwägungen</w:t>
      </w:r>
    </w:p>
    <w:p>
      <w:r>
        <w:rPr>
          <w:b/>
        </w:rPr>
        <w:t>E. 2</w:t>
      </w:r>
    </w:p>
    <w:p>
      <w:r>
        <w:t>2.1Â Â Â Â  Nach Art. 2 Abs. 1 des FreizÃ¼gigkeitsgesetzes (FZG) haben Versicherte, welche die Vorsorgeeinrichtung verlassen, bevor ein Vorsorgefall eintritt (FreizÃ¼gigkeitsfall), Anspruch auf eine Austrittsleistung. Die Vorsorgeeinrichtung bestimmt gemÃ¤ss Abs. 2 derselben Bestimmung in ihrem Reglement die HÃ¶he der Austrittsleistung; diese muss mindestens so hoch sein wie die nach den Bestimmungen des 4. Abschnitts berechnete Austrittsleistung.</w:t>
      </w:r>
    </w:p>
    <w:p>
      <w:r>
        <w:t>Â Â Â Â Â Â Â Â  GemÃ¤ss Art. 13 Abs. 1 lit. a des Bundesgesetzes Ã¼ber die berufliche Alters-, Hinterlassenen- und Invalidenvorsorge (BVG) haben MÃ¤nner, die das 65. Altersjahr zurÃ¼ckgelegt haben, Anspruch auf Altersleistungen. Die reglementarischen Bestimmungen der Vorsorgeeinrichtung kÃ¶nnen abweichend davon vorsehen, dass der Anspruch auf Altersleistungen mit der Beendigung der ErwerbstÃ¤tigkeit entsteht (Art. 13 Abs. 2 Satz 1 BVG).</w:t>
      </w:r>
    </w:p>
    <w:p>
      <w:r>
        <w:t>Â Â Â Â Â Â Â Â  Laut Art. 47 Abs. 1 BVG kann der Versicherte, der aus der obligatorischen Versicherung ausgeschieden ist, die Vorsorge oder bloss die Altersvorsorge im bisherigen Umfang bei derselben Vorsorgeeinrichtung, wenn deren Reglement dies zulÃ¤sst, oder bei der Auffangeinrichtung weiterfÃ¼hren.</w:t>
      </w:r>
    </w:p>
    <w:p>
      <w:r>
        <w:t>2.2Â Â Â Â  Nach Art. 13.1a des APK-Reglements und Art. 13.1 des KV-Reglements (Urk. 6/2-3) ist das ordentliche RÃ¼cktrittsalter der mÃ¤nnlichen Versicherten das vollendete 63. Altersjahr.</w:t>
      </w:r>
    </w:p>
    <w:p>
      <w:r>
        <w:t>Â Â Â Â Â Â Â Â  GemÃ¤ss Art. 13.7 beziehungsweise 13.4 des jeweiligen Reglements kÃ¶nnen Versicherte frÃ¼hestens 5 Jahre vor dem ordentlichen RÃ¼cktrittsalter eine gekÃ¼rzte Altersleistung beziehen. Diese richtet sich nach dem im Zeitpunkt der vorzeitigen Pensionierung vorhandenen Kapital und dem individuellen Umwandlungsfaktor gemÃ¤ss der Tabelle im Anhang I.</w:t>
      </w:r>
    </w:p>
    <w:p>
      <w:r>
        <w:t>Â Â Â Â Â Â Â Â  Art. 13.4 des APK-Reglements hÃ¤lt unter anderem fest, dass der Altersleistungsanspruch bis zum Erreichen des AHV-Alters durch eine vom Arbeitgeber finanzierte und Ã¼ber die APK ausbezahlte monatliche ÃberbrÃ¼ckungsrente ergÃ¤nzt werde, sofern der Arbeitgeber eine entsprechende Verpflichtung eingegangen ist. Diese entspreche hÃ¶chstens der maximalen AHV-Altersrente zum Zeitpunkt des Rentenbeginns. Bei vorzeitiger Pensionierung gemÃ¤ss Art. 13.7 des APK-Reglements werde sie pro rata reduziert und auf eine lÃ¤ngere Zeitdauer verteilt. Sie ende unter anderem mit Erreichen des ordentlichen AHV-Alters.</w:t>
      </w:r>
    </w:p>
    <w:p>
      <w:r>
        <w:t>Â Â Â Â Â Â Â Â  Nach Art. 13.5 des KV-Reglements und Art. 13.8 des APK-Reglements sind Freistellungen vor dem ordentlichen RÃ¼cktrittsalter mit Weiterzahlung der BeitrÃ¤ge durch den Arbeitgeber bis zum ordentlichen oder allenfalls vorzeitigen Rentenbeginn mÃ¶glich.</w:t>
      </w:r>
    </w:p>
    <w:p>
      <w:r>
        <w:t>Â Â Â Â Â Â Â Â  Ferner hÃ¤lt Art. 18.1 der Reglemente fest: Wird das ArbeitsverhÃ¤ltnis vorzeitig aufgelÃ¶st, ohne dass nach den vorstehenden Bestimmungen Anspruch auf Leistungen der KV beziehungsweise der APK besteht, endet die Versicherung. Ist ein Kapital vorhanden, hat der Versicherte Anspruch auf eine FreizÃ¼gigkeitsleistung.</w:t>
      </w:r>
    </w:p>
    <w:p>
      <w:r>
        <w:t>2.3Â Â Â Â  In dem am 22. November 2001 in Kraft getretenen jeweiligen Anhang III zu den beiden Reglementen wurde die externe Versicherung geregelt, die fÃ¼r Versicherte, die als Folge der Personalreduktion aus wirtschaftlichen GrÃ¼nden bei den angeschlossenen Firmen entlassen werden, ein Verleiben als externe Versicherte ermÃ¶glichen sollte (Art. 31).</w:t>
      </w:r>
    </w:p>
    <w:p>
      <w:r>
        <w:t>Â Â Â Â Â Â Â Â  Der jeweilige Art. 32 des Anhangs III zu beiden Reglementen sieht vor, dass der Versicherte, falls er am Ende der KÃ¼ndigungsfrist das 54. (Frauen) respektive das 55. (MÃ¤nner) Altersjahr vollendet hat, lÃ¤ngstens bis zum vollendeten 57. (Frauen) resp. 58. (MÃ¤nner) Altersjahr als externer Versicherter in der APK beziehungsweise KV bleiben kann, wenn die Entlassung beziehungsweise AuflÃ¶sung des ArbeitsverhÃ¤ltnisses infolge Personalreduktion aus wirtschaftlichen GrÃ¼nden erfolgt ist und der Versicherte dadurch aus der APK beziehungsweise KV austreten mÃ¼sste.</w:t>
      </w:r>
    </w:p>
    <w:p>
      <w:r>
        <w:t>Â Â Â Â Â Â Â Â  Nach Art. 33 Abs. 1 des Anhangs III gilt das jeweilige Reglement fÃ¼r externe Versicherte unter anderem mit der Abweichung, dass der Anspruch auf Altersleistungen am Monatsersten nach Vollendung des 57. (Frauen) respektive 58. (MÃ¤nner) Altersjahres beginnt.</w:t>
      </w:r>
    </w:p>
    <w:p>
      <w:r>
        <w:t>Â Â Â Â Â Â Â Â  In Art. 33 Abs. 2 wird ferner festgehalten, dass ein Austritt als externer Versicherter dann erfolgt, wenn er der obligatorischen Versicherung gemÃ¤ss Art. 2 Abs. 1 BVG untersteht, einen Barauszahlungsgrund nach FZG geltend macht oder den Vorsorgeschutz nach Art. 4 FZG in anderer Form erhalten mÃ¶chte.</w:t>
      </w:r>
    </w:p>
    <w:p>
      <w:r>
        <w:rPr>
          <w:b/>
        </w:rPr>
        <w:t>E. 3</w:t>
      </w:r>
    </w:p>
    <w:p>
      <w:r>
        <w:t>3.1Â Â Â Â  Das ArbeitsverhÃ¤ltnis zwischen dem KlÃ¤ger und der C.___ wurde mit der vorzeitigen Pensionierung im Rahmen der "Option 2000" Ende Juli 2000 faktisch beendet. Da der KlÃ¤ger in diesem Zeitpunkt erst 56 Jahre alt war und weder die Voraussetzungen zum Bezug einer Altersleistung im Sinne von Art. 13.1 und 13.2 noch einer gekÃ¼rzten Altersleistung im Sinne von Art. 13.7 beziehungsweise Art. 13.4 des jeweiligen Reglements erfÃ¼llte, hÃ¤tte er an sich bereits damals gemÃ¤ss Art. 2 Abs. 1 FZG und Art. 18.1 der Reglemente Anspruch auf Ausrichtung der FreizÃ¼gigkeitsleistung gehabt. Durch die "Option 2000" verpflichtete sich die C.___ jedoch, dem KlÃ¤ger fÃ¼r die Dauer von fÃ¼nf Jahren 70 % des bisherigen BasissalÃ¤rs beziehungsweise Fr. 7'000.--, hernach bis zu der auf den 1. Februar 2006 vorgesehenen FrÃ¼hpensionierung 50 % beziehungsweise Fr. 5'000.-- und danach Fr. 2'010.-- bis zum Erreichen des AHV-Alters zu bezahlen, wobei sie bis zum 1. Februar 2006 die Arbeitgeber- und Arbeitnehmeranteile der BeitrÃ¤ge an die APK/KV Ã¼bernehmen wollte (Urk. 2/1).</w:t>
      </w:r>
    </w:p>
    <w:p>
      <w:r>
        <w:t>Â Â Â Â Â Â Â Â  Durch diese Vereinbarung wurde der KlÃ¤ger freigestellt im Sinne von Art. 13.8 beziehungsweise 13.4 des jeweiligen Reglements, was ihm die Beibehaltung des Status eines externen Versicherten mit entsprechendem beitragspflichtigem Einkommen ermÃ¶glichte. Durch die "Option 2000" wurde indes ausschliesslich die C.___ zu Lohnersatz- und Beitragsleistungen verpflichtet. Leistungen der Beklagten wurden darin nicht festgelegt. Beginn und HÃ¶he der Altersleistungen sowie der ÃberbrÃ¼ckungsrente gemÃ¤ss Art. 13.7 des APK-Reglements richteten sich denn auch nach wie vor ausschliesslich nach den Reglementen.</w:t>
      </w:r>
    </w:p>
    <w:p>
      <w:r>
        <w:t>3.2Â Â Â Â  Nachdem die C.___ zahlungsunfÃ¤hig geworden war und ab 1. Oktober 2001 die im Rahmen des Optionsvertrages vereinbarten Leistungen nicht mehr hatte ausrichten kÃ¶nnen, waren die reglementarischen Voraussetzungen der Beibehaltung des Versichertenstatus des KlÃ¤gers an sich nicht mehr erfÃ¼llt. Da er in diesem Zeitpunkt noch keinen Anspruch auf Altersleistungen hatte, beschrÃ¤nkte sich sein Leistungsanspruch gegenÃ¼ber den Beklagten erneut auf die FreizÃ¼gigkeitsleistungen.</w:t>
      </w:r>
    </w:p>
    <w:p>
      <w:r>
        <w:t>Â Â Â Â Â Â Â Â  Um bei Versicherten mit vollendetem Altersjahr 54 (Frauen) und 55 (MÃ¤nner), die als Folge der Personalreduktion aus wirtschaftlichen GrÃ¼nden entlassen wurden, den endgÃ¼ltigen Verlust der Altersleistungen zu vermeiden, ergÃ¤nzten die Beklagten ihre Reglemente mit den AnhÃ¤ngen III in dem Sinne, dass ein weiterer Verbleib als externe Versicherte sowie die beitragsfreie WeiterfÃ¼hrung des Altersguthabens bis zum vollendeten 57. (Frauen) und 58. (MÃ¤nner) Altersjahr mÃ¶glich sein und danach der Anspruch auf Altersleistungen entstehen sollte. Eine WeiterfÃ¼hrung der Versicherung bis zu dem mit der C.___ ehemals vereinbarten Termin oder bis zum ordentlichen RÃ¼cktrittsalter wurde nicht vorgesehen. Diese AnhÃ¤nge wurden auf den 22. November 2001 in Kraft gesetzt (Urk. 6/2 S. 19, Urk. 6/3 S. 14).</w:t>
      </w:r>
    </w:p>
    <w:p>
      <w:r>
        <w:t>Â Â Â Â Â Â Â Â  Wenn der in diesem Zeitpunkt 57-jÃ¤hrige KlÃ¤ger von der MÃ¶glichkeit der externen Versicherung Gebrauch machte, sich am 22. MÃ¤rz 2002 als externes Mitglied anmeldete und zu den von der APK und KV umschriebenen Bedingungen weiter versichern liess (Urk. 6/4-5), so kann darin entgegen seiner Auffassung keine Zwangspensionierung erblickt werden, auch wenn fÃ¼r die Kategorie der externen Versicherten im Anhang III der AltersrÃ¼cktritt in dem nach den Reglementen frÃ¼hest mÃ¶glichen Zeitpunkt nun zwingend vorgeschrieben wurde. Es wÃ¤re ihm nÃ¤mlich freigestanden, auf den Beitritt zur externen Versicherung zu verzichten und bereits nach dem Dahinfallen der mit der "Option 2000" bewirkten Freistellung die Ausrichtung der FreizÃ¼gigkeitsleistung zu verlangen.</w:t>
      </w:r>
    </w:p>
    <w:p>
      <w:r>
        <w:t>3.3Â Â Â Â  Indem der KlÃ¤ger schliesslich mit Schreiben vom 17. Juni 2002, mithin vor Vollendung des 58. Altersjahres, aufgrund eines per 1. August 2002 eingegangenen neuen ArbeitsverhÃ¤ltnisses die Ausrichtung der FreizÃ¼gigkeitsleistung verlangte (Urk. 6/6), entschied er sich fÃ¼r die AuflÃ¶sung der externen Versicherung vor dem vorzeitigen AltersrÃ¼cktritt und gegen die im Anhang III vorgesehene Ausrichtung der Altersleistung.</w:t>
      </w:r>
    </w:p>
    <w:p>
      <w:r>
        <w:t>Â Â Â Â Â Â Â Â  Unbestrittenermassen erstellten die Beklagten am 5. November 2002 die Austrittsabrechnungen per 31. Juli 2002 und Ã¼bertrugen die jeweiligen FreizÃ¼gigkeitsleistungen auf die neue Pensionskasse mit Valuta 6. September 2002 (Urk. 6/7-8, 10 S. 2). Anderweitige Leistungen wurden damit hinfÃ¤llig. Auch aus der Ãbergangsregelung der "Option 2000" kÃ¶nnen gegenÃ¼ber den Beklagten keine Leistungen abgeleitet werden, waren diese doch an dieser Vereinbarung nicht beteiligt und traf diese mangels entsprechender reglementarischer Grundlage auch nach Eintritt der ZahlungsunfÃ¤higkeit der C.___ keine Pflicht zur Umsetzung dieses Vertrages.</w:t>
      </w:r>
    </w:p>
    <w:p>
      <w:r>
        <w:t>Â Â Â Â Â Â Â Â  Zudem ist nicht ersichtlich und bestehen keine Anhaltspunkte dafÃ¼r, dass die dem BeschwerdefÃ¼hrer ausgerichteten FreizÃ¼gigkeitsleistungen nicht gesetzes- und reglementskonform berechnet worden wÃ¤ren. Aufgrund der "Option 2000" waren die von Gesetzes wegen an sich schon bei der faktischen AuflÃ¶sung des ArbeitsverhÃ¤ltnisses Ende Juli 2000 fÃ¤llig gewordenen FreizÃ¼gigkeitsbetrÃ¤ge sogar noch bis Oktober 2001 mit den Arbeitgeber- und ArbeitnehmerbeitrÃ¤gen weiter geÃ¤ufnet und danach aufgrund der AnhÃ¤nge III noch beitragsfrei weiter gefÃ¼hrt worden.</w:t>
      </w:r>
    </w:p>
    <w:p>
      <w:r>
        <w:t>Â Â Â Â Â Â Â Â  Demnach ist die Klage, soweit damit Ã¼berhaupt gesetzliche oder reglementarische Leistungen der Vorsorgeeinrichtungen verlangt werden, abzuweisen.</w:t>
      </w:r>
    </w:p>
    <w:p>
      <w:r>
        <w:t>4.Â Â Â Â Â Â  In erster Linie wird die Klage indes mit der als widerrechtlich bezeichneten Zwangspensionierung bei Erreichen des 58. Altersjahres, wie sie in den AnhÃ¤ngen III vorgesehen wurde, begrÃ¼ndet. Der KlÃ¤ger verlangt denn auch von den Beklagten ausdrÃ¼cklich "Ersatz" fÃ¼r die Leistungen, die ihm dadurch entgingen, dass es nicht zu dem im Rahmen der "Option 2000" auf Ende Januar 2006 vorgesehenen AltersrÃ¼cktritt kommen konnte, sondern er sich mit der per Ende Juli 2002 berechneten FreizÃ¼gigkeitsleistung begnÃ¼gen musste.</w:t>
      </w:r>
    </w:p>
    <w:p>
      <w:r>
        <w:t>Â Â Â Â Â Â Â Â  Nach der Rechtsprechung des EidgenÃ¶ssischen Versicherungsgerichts steht das Verfahren nach Art. 73 BVG jedoch nicht zur Verfolgung von zivilrechtlichen SchadenersatzansprÃ¼chen zur VerfÃ¼gung, welche die ehemals versicherte Person gegen ihre Vorsorgeeinrichtung oder deren TrÃ¤gerin erhebt (BGE 117 V 41 Erw. 3d, vgl. auch Urteil des EidgenÃ¶ssischen Versicherungsgerichts vom 10. MÃ¤rz 2004 i.S. X., B 37/03). Insofern kann auf die Klage nicht eingetreten werden.</w:t>
      </w:r>
    </w:p>
    <w:p>
      <w:r>
        <w:t>5.Â Â 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126 V 150 Erw. 4a, 118 V 169 Erw. 7, 117 V 349 Erw. 8 mit Hinweis).</w:t>
      </w:r>
    </w:p>
    <w:p>
      <w:r>
        <w:t>Â Â Â Â Â Â Â Â  Vorliegend besteht keine Veranlassung, von den genannten GrundsÃ¤tzen abzu- Â Â Â weichen.</w:t>
      </w:r>
    </w:p>
    <w:p>
      <w:r>
        <w:t>Das Gericht erkennt:</w:t>
      </w:r>
    </w:p>
    <w:p>
      <w:r>
        <w:t>1.Â Â Â Â Â Â Â Â  Die Klage wird abgewiesen, soweit darauf eingetreten wird.</w:t>
      </w:r>
    </w:p>
    <w:p>
      <w:r>
        <w:t>2.Â Â Â Â Â Â Â Â  Das Verfahren ist kostenlos.</w:t>
      </w:r>
    </w:p>
    <w:p>
      <w:r>
        <w:t>3.Â Â Â Â Â Â Â Â  Zustellung gegen Empfangsschein an:</w:t>
      </w:r>
    </w:p>
    <w:p>
      <w:r>
        <w:t>- L.___</w:t>
      </w:r>
    </w:p>
    <w:p>
      <w:r>
        <w:t>- Allgemeine Pensionskasse der A.___</w:t>
      </w:r>
    </w:p>
    <w:p>
      <w:r>
        <w:t>- Kaderversicherung A.___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