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BV.2003.00136 vom 15. März 2005</w:t>
      </w:r>
    </w:p>
    <w:p>
      <w:r>
        <w:t>ZH Sozialversicherungsgericht, 2005-03-15, DE</w:t>
      </w:r>
    </w:p>
    <w:p>
      <w:r>
        <w:rPr>
          <w:b/>
        </w:rPr>
        <w:t xml:space="preserve">Quelle: </w:t>
      </w:r>
      <w:r>
        <w:t>https://mcp.opencaselaw.ch/entscheid/zh_sozialversicherungsgericht_BV.2003.00136</w:t>
      </w:r>
    </w:p>
    <w:p>
      <w:r>
        <w:t>FR: ZH_SOZIALVERSICHERUNGSGERICHT BV.2003.00136 du 15 mars 2005</w:t>
      </w:r>
    </w:p>
    <w:p>
      <w:r>
        <w:t>IT: ZH_SOZIALVERSICHERUNGSGERICHT BV.2003.00136 del 15 marzo 2005</w:t>
      </w:r>
    </w:p>
    <w:p>
      <w:pPr>
        <w:pStyle w:val="Heading2"/>
      </w:pPr>
      <w:r>
        <w:t>Erwägungen</w:t>
      </w:r>
    </w:p>
    <w:p>
      <w:r>
        <w:rPr>
          <w:b/>
        </w:rPr>
        <w:t>E. 1</w:t>
      </w:r>
    </w:p>
    <w:p>
      <w:r>
        <w:t>1.1Â Â Â Â  Anspruch auf Invalidenleistungen haben gemÃ¤ss Art. 23 des Bundesgesetzes Ã¼ber die berufliche Alters-, Hinterlassenen- und Invalidenversicherung (BVG) Personen, die im Sinne der Invalidenversicherung zu mindestens 50 % invalid sind und bei Eintritt der ArbeitsunfÃ¤higkeit, deren Ursache zur InvaliditÃ¤t gefÃ¼hrt hat, versichert waren. Nach Art. 24 Abs. 1 BVG hat der Versicherte Anspruch auf eine volle Invalidenrente, wenn er im Sinne der Invalidenversicherung mindestens zu zwei Dritteln, auf eine halbe Rente, wenn er mindestens zur HÃ¤lfte invalid ist. GemÃ¤ss Art. 26 Abs. 1 BVG gelten fÃ¼r den Beginn des Anspruchs auf Invalidenleistungen sinngemÃ¤ss die entsprechenden Bestimmungen des Bundesgesetzes Ã¼ber die Invalidenversicherung (Art. 29 IVG).</w:t>
      </w:r>
    </w:p>
    <w:p>
      <w:r>
        <w:t>1.2Â Â Â Â  Nach Art. 19 des am 24. Oktober 1996 vom Stiftungsrat genehmigten Reglements der Beklagten in der Fassung von September 2001 (Urk. 7/1/3) hat eine versicherte Person, die vor Erreichen des RÃ¼cktrittsalters invalid im Sinne der EidgenÃ¶ssischen Invalidenversicherung (IV) wird, nach Ablauf der Lohnfortzahlung durch die Arbeitgeberin Anspruch auf eine dem Grad der ErwerbsunfÃ¤higkeit entsprechende Invalidenrente, wobei der Anspruch auf Invalidenleistung bis zur ErschÃ¶pfung des Taggeldanspruches aufgeschoben wird, wenn die versicherte Person anstelle des vollen Lohnes Krankentaggelder erhÃ¤lt, die mindestens 80 % des entgangenen Lohnes betragen, und die Taggeldversicherung von der Arbeitgeberin mindestens zur HÃ¤lfte mitfinanziert wurde. Eine ErwerbsunfÃ¤higkeit von weniger als 25 % gibt keinen Anspruch auf eine Invalidenrente, eine solche von 66 2/3 % und mehr gibt Anspruch auf eine volle Invalidenrente (Ziff. 1). Der Anspruch auf eine Invalidenrente beginnt gleichzeitig mit demjenigen gegenÃ¼ber der EidgenÃ¶ssischen Invalidenversicherung (Ziff. 2).</w:t>
      </w:r>
    </w:p>
    <w:p>
      <w:r>
        <w:t>BezÃ¼glich der HÃ¶he der jÃ¤hrlichen Vollinvalidenrente wird in Ziffer 3 der genannten Reglementsbestimmung auf den fÃ¼r den einzelnen Betrieb geltenden Vorsorgeplan verwiesen. GemÃ¤ss der ursprÃ¼nglich im Vorsorgeplan (Urk. 2/2) vorgesehenen Versicherungsvariante 1 (C/BVG) betrug sie 25 % des AHV-Lohnes, gemÃ¤ss der ab 1. Januar 2002 geltenden Variante 3 40 % des AHV-Lohnes.</w:t>
      </w:r>
    </w:p>
    <w:p>
      <w:r>
        <w:rPr>
          <w:b/>
        </w:rPr>
        <w:t>E. 2</w:t>
      </w:r>
    </w:p>
    <w:p>
      <w:r>
        <w:t>2.1Â Â Â Â  Der Anspruch des KlÃ¤gers auf eine Invalidenrente im Rahmen des dem BVG-Mimimum entsprechenden, bis Ende 2001 gÃ¼ltig gewesenen Versicherungsvariante 1 ist unbestritten. Strittig und zu prÃ¼fen ist, ob dem KlÃ¤ger auch Invalidenleistungen der weitergehenden beruflichen Vorsorge nach der ab 1. Januar 2002 geltenden Variante 3 zustehen, wie sie in dem auf ihn am 20. Februar 2002 ausgestellten Vorsorgeausweis angefÃ¼hrt sind (Urk 2/7).</w:t>
      </w:r>
    </w:p>
    <w:p>
      <w:r>
        <w:t>2.2Â Â Â Â  Zu Recht leitet der KlÃ¤ger aus dem Versicherungsausweis vom 20. Februar 2002 (Urk. 2/7) keinen direkten Rechtsanspruch ab. Denn einer solchen Bescheinigung kommt reiner Informationscharakter und nicht konstitutive Wirkung zu. Auch findet sich in diesem Ausweis seiner Rechtsnatur entsprechend keine Leistungszusicherung (vgl. Urteil des EidgenÃ¶ssischen Versicherungsgerichts vom 21. November 2002, i.S. L., B 78/00, Erw. 3 mit Hinweis auf SVR 2002 BVG Nr. 12 S. 42 Erw. 3).</w:t>
      </w:r>
    </w:p>
    <w:p>
      <w:r>
        <w:t>Â Â Â Â Â Â Â Â  Der KlÃ¤ger macht hingegen geltend, fÃ¼r die Festsetzung der Invalidenleistungen seien grundsÃ¤tzlich die im Zeitpunkt des Leistungsanspruchs geltenden Reglementsbestimmungen massgebend. Als er im November 2001 die Offerte fÃ¼r einen Ã¼ber das BVG-Minimum hinausgehenden Versicherungsplan verlangt habe, sei er voll erwerbsfÃ¤hig gewesen. Zwischen dem 21. Juli und dem 5. Dezember 2001 habe er denn auch kein Krankentaggeld bezogen. Es liege daher keine Anzeigepflichtverletzung vor. Eine solche wÃ¤re indes ohnehin unbeachtlich, habe doch die Beklagte, die seit dem 15. Oktober 2002 im Besitze der IV-Akten gewesen sei, die abgeschlossene Versicherung nicht innert vier Woche seit Kenntnisnahme der Anzeigepflichtverletzung widerrufen (Urk. 1 S. 6-7). Da bis heute kein RÃ¼cktritt vom Vertrag erfolgt sei, sei die anbegehrte Leistung auszurichten (Urk. 10 S. 2).</w:t>
      </w:r>
    </w:p>
    <w:p>
      <w:r>
        <w:t>2.3Â Â Â Â  Die beklagte Vorsorgeeinrichtung nahm von Anfang an den Standpunkt ein, dass der KlÃ¤ger gemÃ¤ss den Feststellungen der IV-Organe bereits seit Mai 2001 ununterbrochen zu mindestens 40 % arbeitsunfÃ¤hig gewesen sei, was zur Zusprechung einer IV-Rente ab 1. Mai 2002 gefÃ¼hrt habe. Sie habe daher nur die Invalidenleistungen im Rahmen der im Mai 2001 bestehenden Versicherungsdeckung zu erbringen (Urk. 2/23).</w:t>
      </w:r>
    </w:p>
    <w:p>
      <w:r>
        <w:t>Nach ihren AusfÃ¼hrungen in der Klageantwort werden Personen mit einer im Zeitpunkt der Ãnderung des Vorsorgeplanes bereits bestehenden ArbeitsunfÃ¤higkeit nicht den neuen Bestimmungen unterstellt, sondern es bleibt der bisherige Vorsorgeplan massgebend. Wie den Arztzeugnissen zu entnehmen sei, sei der KlÃ¤ger bereits vor der Ãnderung des Vorsorgeplanes teilweise arbeitsunfÃ¤hig gewesen. Sie sei an die dem rechtskrÃ¤ftigen IV-Rentenentscheid zugrunde liegenden Eckdaten, namentlich an den darin auf den 1. Mai 2001 angesetzten Beginn der Wartefrist, gebunden (Urk. 6 S. 2 ff.).</w:t>
      </w:r>
    </w:p>
    <w:p>
      <w:r>
        <w:rPr>
          <w:b/>
        </w:rPr>
        <w:t>E. 3</w:t>
      </w:r>
    </w:p>
    <w:p>
      <w:r>
        <w:t>3.1Â Â Â Â  Nach Art. 2 Abs. 1 BVG unterstehen Arbeitnehmer, die das 17. Altersjahr vollendet haben und bei einem Arbeitgeber einen Jahreslohn von mehr als dem in Art. 7 BVG geltenden Mindestlohn beziehen, der obligatorischen Versicherung. Personen, die im Sinne der IV zu mindestens zwei Dritteln invalid sind, sind laut Art. 1 Abs. 1 lit. d BVV2 in der bis Ende 2004 geltenden Fassung nicht der obligatorischen Versicherung unterstellt.</w:t>
      </w:r>
    </w:p>
    <w:p>
      <w:r>
        <w:t>Â Â Â Â Â Â Â Â  In BGE 118 V 164 Erw. 4b-d hat das EidgenÃ¶ssische Versicherungsgericht Art. 1 Abs. lit. d BVV2 als rechtskonform bezeichnet, da es einem grundlegenden Prinzip des Versicherungsrechts zuwiderlaufen wÃ¼rde, ein bereits eingetretenes Risiko zu decken. BezÃ¼glich der weitergehenden Vorsorge wurde in diesem Entscheid festgehalten, dass es den Vorsorgeeinrichtungen freigestellt sei, invalide Personen fÃ¼r ihre RestarbeitsfÃ¤higkeit zu versichern, wobei in diesem Zusammenhang ein Vorbehalt - zeitlich beschrÃ¤nkt oder nicht - fÃ¼r das Leiden, das zur InvaliditÃ¤t gefÃ¼hrt hat, angebracht werden kÃ¶nne (BGE 118 V 168 Erw. 5a).</w:t>
      </w:r>
    </w:p>
    <w:p>
      <w:r>
        <w:t>Â Â Â Â Â Â Â Â  Ferner wies das EidgenÃ¶ssische Versicherungsgericht in diesem Entscheid darauf hin, dass Art. 9 des Versicherungsvertragsgesetzes (VVG) analog anwendbar sei, wenn der Versicherte beim Eintritt in die Vorsorgeeinrichtung bereits vollstÃ¤ndig invalid ist. Nach dieser Bestimmung sei der Versicherungsvertrag nichtig, wenn der Schadenfall im Zeitpunkt des Vertragsschlusses bereits eingetreten ist. Diese Regel sei gesetzlicher Ausdruck des obgenannten Prinzips des Versicherungsrechts und werde im Ã¼brigen als ordre public betrachtet (BGE 118 V 164 f. Erw. 4b, 5c).</w:t>
      </w:r>
    </w:p>
    <w:p>
      <w:r>
        <w:t>Â Â Â Â Â Â Â Â  Dieses sogenannte RÃ¼ckwÃ¤rtsversicherungsverbot gilt nicht nur beim erstmaligen Vertragsabschluss, sondern auch bei einem Wechsel des Versicherers oder einer Neuversicherung beim frÃ¼heren Versicherer. Massgeblich fÃ¼r die Beurteilung des erfolgten Risikoeintritts ist in diesen FÃ¤llen der Zeitpunkt des jeweiligen Vertragsabschlusses (Hardy Landolt, Die freiwillige Sozialversicherung im Spannungsfeld zwischen Vertragsfreiheit und Sozialversicherungszwang, in: Sozialversicherungsrechtstagung 2004, Schriftenreihe des Instituts fÃ¼r Rechtswissenschaft und Rechtspraxis, UniversitÃ¤t St. Gallen, Herausgeber: RenÃ© Schaffhauser/Franz Schlauri, St. Gallen 2004, S. 93).</w:t>
      </w:r>
    </w:p>
    <w:p>
      <w:r>
        <w:t>Â Â Â Â Â Â Â Â  WÃ¤hrend sich das Vorbehaltsrecht primÃ¤r auf zukÃ¼nftige, ungewisse Ereignisse mit erhÃ¶hter Eintrittswahrscheinlichkeit bezieht, hat das RÃ¼ckwÃ¤rtsversicherungsverbot vergangene beziehungsweise aktuelle Ereignisse zum Gegenstand. Vorbehaltsrecht und RÃ¼ckwÃ¤rtsversicherungsverbot sind deshalb alternativ anwendbar. Der Versicherer kann sich nicht gleichzeitig auf das RÃ¼ckwÃ¤rtsversicherungsverbot und einen Vorbehalt berufen (Landolt, a.a.O, S. 71, 93).</w:t>
      </w:r>
    </w:p>
    <w:p>
      <w:r>
        <w:t>3.2Â Â Â Â  Vorliegend wurde bezÃ¼glich des KlÃ¤gers auf der fÃ¼r die A.___ AG ab 1. Januar 2002 geltenden Versicherungsvariante 3 kein Vorbehalt angebracht. Auch beruft sich die Beklagte nicht auf eine Anzeigepflichtverletzung, sondern sinngemÃ¤ss auf das RÃ¼ckwÃ¤rtsversicherungsverbot. Sie unterliess es denn auch, die weitergehende Vorsorge in bezug auf den KlÃ¤ger im Sinne von Art. 6 VVG zu widerrufen (vgl. BGE 119 V 287). Es stellt sich daher vorliegend einzig die Frage, ob das Risiko InvaliditÃ¤t im Zeitpunkt des Abschlusses der weitergehenden Vorsorgeversicherung beim KlÃ¤ger bereits eingetreten war oder nicht.</w:t>
      </w:r>
    </w:p>
    <w:p>
      <w:r>
        <w:t>4.Â Â Â Â Â Â</w:t>
      </w:r>
    </w:p>
    <w:p>
      <w:r>
        <w:t>4.1Â Â Â Â  Die Rechtsprechung qualifiziert das reglementarische VorsorgeverhÃ¤ltnis im weitergehenden Vorsorgebereich als vertragliches RechtsverhÃ¤ltnis, das, abgesehen von den direkt anwendbaren Spezialbestimmungen, in erster Linie den allgemeinen Bestimmungen des Obligationenrechts (OR) untersteht. Die allgemeinen GrundsÃ¤tze des Vertragsrechts sind deshalb im Bereich der weitergehenden privatrechtlichen Vorsorge zu beachten (Walser, Weitergehende berufliche Vorsorge, in SBVR, Rz. 172, 186).</w:t>
      </w:r>
    </w:p>
    <w:p>
      <w:r>
        <w:t>Â Â Â Â Â Â Â Â  Art. 8 des Regelements bestimmt, dass fÃ¼r den Anschluss des Betriebes an die Stiftung dieser der Verwaltung eine Anmeldung einzureichen habe. Die Einzelheiten wÃ¼rden im Anschlussvertrag zwischen dem Betrieb und der Stiftung geregelt (Urk. 7/1/3 S. 8). Weder der zwischen den Parteien am 20. April 1990 geschlossene Anschlussvertrag (Urk. 2/2) noch das Reglement sehen vor, dass die Ãnderung des Anschlussvertrages beziehungsweise der Wechsel zu einer anderen Versicherungsvariante im Sinne von Art. 19 Ziff. 3 des Reglements einer bestimmten Form bedarf.</w:t>
      </w:r>
    </w:p>
    <w:p>
      <w:r>
        <w:t>4.2Â Â Â Â  Aufgrund der unbestritten gebliebenen Sachdarstellung des KlÃ¤gers erhielt dieser im August 2001 an einem Werbestand der Beklagten diverse Dokumente und Werbeunterlagen Ã¼ber die verschiedenen Versicherungsvarianten (Urk. 1 S. 3). Dass er dann bereits im November 2001 den Antrag zum Wechsel der Versicherungs-Variante stellte, wie von ihm geltend gemacht wird (Urk. 1 S. 3, Urk. 10 S. 3), ist indes nicht erwiesen:</w:t>
      </w:r>
    </w:p>
    <w:p>
      <w:r>
        <w:t>Â Â Â Â Â Â Â Â  So ist zwar auf dem Originalformular "Antrag zum Wechsel der Versicherungs-Variante" (Urk. 7/1/1) die mit dem Stempel der A.___ AG und der Unterschrift des KlÃ¤gers versehene BestÃ¤tigung der Arbeitgeberin betreffend Bestehen einer Kranken-Taggeldversicherung mit "Nov 2001" datiert. Einen Beleg dafÃ¼r, dass dieser Antrag bereits im November 2001 abgeschickt worden ist, findet sich jedoch nicht bei den Akten. Im Gegenteil ist aufgrund der Telefonnotiz eines Mitarbeiters der Beklagten vom 18. Dezember 2001 (Urk. 15/1) davon auszugehen, dass sich der KlÃ¤ger erst zu diesem Zeitpunkt aufgrund einer Publikation an die Beklagte wandte, um sich bei der Beklagten bezÃ¼glich einer Verbesserung des Vorsorgeplanes per 1. Januar 2002 beraten zu lassen. GemÃ¤ss Begleitschreiben der Beklagten (Urk. 15/2) sandte diese dem KlÃ¤ger zuhanden der A.___ AG schliesslich am 15. Januar 2002 das Antragsformular und am 7. Februar 2002 eine Offerte mit einer detaillierten Umschreibung der drei Varianten (Urk. 15/3a-b). Daraufhin stellte der KlÃ¤ger laut Begleitschreiben vom 8. Februar 2002 der Beklagten diverse Unterlagen zu, insbesondere zur Lohnausfallversicherung und zu den Lohnsummen (Urk. 7/2/49). Am 14. Februar 2002 schrieb er schliesslich an die Beklagte: "Beiliegend die Anmeldung fÃ¼r die HÃ¶herversicherung unseres Betriebes. Wir wÃ¼nschen deinen Vorschlag 3/BVG" (Urk. 15/4a). Dieses Schreiben enthÃ¤lt ebenso wie der mit November 2001 datierte Original-Antrag (Urk. 7/1/1) und die vom KlÃ¤ger unterzeichnete Offerte "Baustein 3/BVG" (Urk. 15/4b) einen - offenbar von der Beklagten angebrachten - Eingangsstempel, der auf den 15. Februar 2002 lautet. Wie dem Antragsformular (Urk. 7/1/1) zu entnehmen ist, stimmte der zustÃ¤ndige Sachbearbeiter der Beklagten dem Antrag der A.___ AG gleichentags zu; denn es wurde darauf unter anderem der handschriftliche, mit dem 15. Februar 2002 datierte Vermerk angebracht "Baustein 3/BVG". Auch entsprechen die Invalidenleistungen, die in dem am 20. Februar 2002 per 1. Januar 2002 ausgestellten Vorsorgeausweis des KlÃ¤gers (Urk. 2/7) aufgefÃ¼hrt sind, der Versicherungsvariante 3.</w:t>
      </w:r>
    </w:p>
    <w:p>
      <w:r>
        <w:t>Â Â Â Â Â Â Â Â  Nach Lage der Akten wurde demnach das Antragsformular der A.___ AG vom KlÃ¤ger erst am 14. Februar 2002 abgeschickt und die Beklagte stimmte am folgenden Tag der Versicherungsvariante 3 rÃ¼ckwirkend per 1. Januar 2002 zu. Zu prÃ¼fen bleibt, ob sich in diesem Zeitpunkt das versicherte Risiko InvaliditÃ¤t bereits verwirklicht hatte.</w:t>
      </w:r>
    </w:p>
    <w:p>
      <w:r>
        <w:t>4.3Â Â Â Â  AnknÃ¼pfungspunkt fÃ¼r den InvaliditÃ¤tseintritt ist nicht der Gesundheitsschaden als solcher, sondern die gesundheitlich bedingte ErwerbsunfÃ¤higkeit (vgl. Urteil des EidgenÃ¶ssischen Versicherungsgerichts vom 22. August 2003 i.S. W., B 101/02, Erw. 4.5 mit Hinweisen, unter anderem auf BGE 124 V 125 Erw. 6b). BezÃ¼glich des Zeitpunkts des Eintritts der gesundheitlich bedingten ErwerbsunfÃ¤higkeit ist analog zu Art. 23 BVG nicht auf den Moment abstellen, da der Anspruch auf die Invalidenrente entsteht, sondern auf den Zeitpunkt des Eintritts der ArbeitsunfÃ¤higkeit, die spÃ¤ter zur InvaliditÃ¤t fÃ¼hrt.</w:t>
      </w:r>
    </w:p>
    <w:p>
      <w:r>
        <w:t>Â Â Â Â Â Â Â Â  Dem Schreiben des behandelnden Arztes vom 8. Februar 2004 (Urk. 11), auf das sich der KlÃ¤ger beruft, ist zu entnehmen, dass spÃ¤testens ab dem 5. Dezember 2001 eine ArbeitsunfÃ¤higkeit von 50 % bestand und diese sich am 26. September 2002 auf 80 % erhÃ¶hte. Somit muss davon ausgegangen werden, dass die ArbeitsunfÃ¤higkeit, die zur InvaliditÃ¤t fÃ¼hrte, nicht nur am 15. Februar 2002, als der Vertrag betreffend weitergehende berufliche Vorsorge zustande kam, sondern bereits bei deren Inkrafttreten am 1. Januar 2002 eingetreten war. Es steht damit fest, dass der KlÃ¤ger von der Versicherungsvariante 3 ausgeschlossen ist, so dass daher offen bleiben kann, ob er - entsprechend der dem Rentenentscheid der Invalidenversicherung zugrunde liegenden Annahme (Urk. 2/15) - bereits seit dem 1. Mai 2001 ununterbrochen in der ArbeitsfÃ¤higkeit eingeschrÃ¤nkt war oder nicht.</w:t>
      </w:r>
    </w:p>
    <w:p>
      <w:r>
        <w:t>Â Â Â Â Â Â Â Â  Die Klage ist demnach abzuweisen.</w:t>
      </w:r>
    </w:p>
    <w:p>
      <w:r>
        <w:t>Das Gericht erkennt:</w:t>
      </w:r>
    </w:p>
    <w:p>
      <w:r>
        <w:t>1.Â Â Â Â Â Â Â Â  Die Klage wird abgewiesen.</w:t>
      </w:r>
    </w:p>
    <w:p>
      <w:r>
        <w:t>2.Â Â Â Â Â Â Â Â  Das Verfahren ist kostenlos.</w:t>
      </w:r>
    </w:p>
    <w:p>
      <w:r>
        <w:t>3.Â Â Â Â Â Â Â Â  Zustellung gegen Empfangsschein an:</w:t>
      </w:r>
    </w:p>
    <w:p>
      <w:r>
        <w:t>- Rechtsanwalt Markus Bischoff</w:t>
      </w:r>
    </w:p>
    <w:p>
      <w:r>
        <w:t>- NEST Sammelstiftung</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