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BV.2003.00080 vom 14. Juni 2004</w:t>
      </w:r>
    </w:p>
    <w:p>
      <w:r>
        <w:t>ZH Sozialversicherungsgericht, 2004-06-14, DE</w:t>
      </w:r>
    </w:p>
    <w:p>
      <w:r>
        <w:rPr>
          <w:b/>
        </w:rPr>
        <w:t xml:space="preserve">Quelle: </w:t>
      </w:r>
      <w:r>
        <w:t>https://mcp.opencaselaw.ch/entscheid/zh_sozialversicherungsgericht_BV.2003.00080</w:t>
      </w:r>
    </w:p>
    <w:p>
      <w:r>
        <w:t>FR: ZH_SOZIALVERSICHERUNGSGERICHT BV.2003.00080 du 14 juin 2004</w:t>
      </w:r>
    </w:p>
    <w:p>
      <w:r>
        <w:t>IT: ZH_SOZIALVERSICHERUNGSGERICHT BV.2003.00080 del 14 giugno 2004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Â Â Â  Zwischen den Parteien ist unbestritten, dass die KlÃ¤gerin im Umfang des Obligatoriums Anspruch auf eine halbe Invalidenrente der Beklagten hat. Strittig ist, ob die Beklagte vom Ã¼berobligatorischen Vorsorgevertrag zurÃ¼cktreten durfte und ob die RÃ¼cktrittserklÃ¤rung rechtzeitig erfolgt ist.</w:t>
      </w:r>
    </w:p>
    <w:p>
      <w:r>
        <w:t>1.2Â Â Â Â  Nach hÃ¶chstrichterlicher Rechtsprechung richtet sich die Verletzung der Anzeigepflicht und deren Folgen grundsÃ¤tzlich nach den einschlÃ¤gigen statutarischen bzw. reglementarischen Bestimmungen der Vorsorgeeinrichtung. Schweigen sich Statuten oder Reglement hierÃ¼ber aus, hat die Beurteilung dieses Tatbestandes nicht nach den Regeln Ã¼ber die MÃ¤ngel beim Vertragsabschluss (Art. 23 ff. Obligationenrecht [OR]), sondern analogieweise gemÃ¤ss Art. 4 ff. des Bundesgesetzes Ã¼ber den Versicherungsvertrag (VVG) zu erfolgen. Dies gilt sowohl fÃ¼r den Bereich der freiwilligen als auch der weitergehenden beruflichen Vorsorge (BGE 119 V 286 Erw. 4 mit Hinweisen).</w:t>
      </w:r>
    </w:p>
    <w:p>
      <w:r>
        <w:t>1.3Â Â Â Â  In Ziffer 9.2 des Reglements der Beklagten vom 6. Dezember 1994 (Urk. 2/6) wird vorgesehen, dass die Beklagte bei der Aufnahme vom neueintretenden Mitglied eine GesundheitserklÃ¤rung verlangen und allenfalls eine Ã¤rztliche Untersuchung anordnen kann und bei unbefriedigender Gesundheit eine dem Mitglied schriftlich bekanntzugebende LeistungseinschrÃ¤nkung mÃ¶glich ist. In Ziffer 9.3 des Reglements werden die Mitglieder sodann verpflichtet, der Beklagten wahrheitsgemÃ¤ss AuskÃ¼nfte zu erteilen und verlangte Unterlagen beizubringen. FÃ¼r falsche, unrichtige, unterlassene oder verspÃ¤tete AuskÃ¼nfte und Angaben haftet das Mitglied der Beklagten.</w:t>
      </w:r>
    </w:p>
    <w:p>
      <w:r>
        <w:t>Â Â Â Â Â Â Â Â  Das von der Beklagten aus diesen Reglementsbestimmungen abgeleitete RÃ¼cktrittsrecht ist nicht geregelt. Es besteht diesbezÃ¼glich Raum fÃ¼r die analoge Anwendung von Art. 4 ff. VVG.</w:t>
      </w:r>
    </w:p>
    <w:p>
      <w:r>
        <w:t>1.4Â Â Â Â  Nach Art. 4 VVG hat der Antragsteller dem Versicherer an Hand eines Fragebogens oder auf sonstiges schriftliches Befragen alle fÃ¼r die Beurteilung der Gefahr erheblichen Tatsachen, soweit und so, wie sie ihm bei Vertragsabschluss bekannt sind oder bekannt sein mÃ¼ssen, schriftlich mitzuteilen (Abs. 1). Erheblich sind diejenigen Gefahrstatsachen, die geeignet sind, auf den Entschluss des Versicherers, den Vertrag Ã¼berhaupt oder zu den vereinbarten Bedingungen abzuschliessen, einen Einfluss auszuÃ¼ben (Abs. 2). Die Gefahrstatsachen, auf welche die schriftlichen Fragen des Versicherers in bestimmter, unzweideutiger Fassung gerichtet sind, werden als erheblich vermutet (Abs. 3).</w:t>
      </w:r>
    </w:p>
    <w:p>
      <w:r>
        <w:t>Gefahrstatsachen sind alle Tatsachen, die bei der Beurteilung der Gefahr in Betracht fallen und den Versicherer demzufolge Ã¼ber den Umfang der zu deckenden Gefahr aufklÃ¤ren kÃ¶nnen; dazu sind nicht nur jene Tatsachen zu rechnen, welche die Gefahr verursachen, sondern auch solche, die bloss einen RÃ¼ckschluss auf das Vorliegen von Gefahrenursachen gestatten. Nach herrschender Lehre und Rechtsprechung weist die Anzeigepflicht des Antragstellers keinen umfassenden Charakter auf. Sie beschrÃ¤nkt sich vielmehr auf die Angabe jener Gefahrstatsachen, nach denen der Versicherer ausdrÃ¼cklich und in unzweideutiger Art gefragt hat; der Antragsteller ist daher ohne entsprechende Fragen nicht verpflichtet, von sich aus Ã¼ber bestehende Gefahren Auskunft zu geben (BGE 116 V 226 f. Erw. 5a mit Hinweisen).</w:t>
      </w:r>
    </w:p>
    <w:p>
      <w:r>
        <w:t>1.5Â Â Â Â  Wann die Anzeigepflicht verletzt ist, beurteilt sich verschuldensunabhÃ¤ngig nach subjektiven wie auch nach objektiven Kriterien. Denn nach dem Wortlaut von Art. 4 und 6 VVG hat der Antragsteller dem Versicherer in Beantwortung entsprechender Fragen nicht nur die ihm tatsÃ¤chlich bekannten (von seinem positiven Wissen erfassten) erheblichen Gefahrstatsachen mitzuteilen, sondern auch diejenigen, die ihm bekannt sein mÃ¼ssen. Damit stellt das Gesetz ein objektives (vom tatsÃ¤chlichen Wissen des Antragstellers Ã¼ber den konkreten Sachverhalt unabhÃ¤ngiges) Kriterium auf, bei dessen Anwendung jedoch die UmstÃ¤nde des einzelnen Falles, insbesondere die persÃ¶nlichen Eigenschaften (Intelligenz, Bildungsgrad, Erfahrung) und die persÃ¶nlichen VerhÃ¤ltnisse des Antragstellers, zu berÃ¼cksichtigen sind. Entscheidend ist somit, ob und inwieweit ein Antragsteller nach seiner Kenntnis der VerhÃ¤ltnisse und gegebenenfalls nach den ihm von fachkundiger Seite erteilten AufschlÃ¼ssen eine Frage des Versicherers in guten Treuen verneinen durfte. Er genÃ¼gt seiner Anzeigepflicht nur, wenn er ausser den ihm ohne weiteres bekannten Tatsachen auch diejenigen angibt, deren Vorhandensein ihm nicht entgehen kann, wenn er Ã¼ber die Fragen des Versicherers ernsthaft nachdenkt (BGE 116 V 227 f. Erw. 5b mit Hinweisen).</w:t>
      </w:r>
    </w:p>
    <w:p>
      <w:r>
        <w:t>1.6Â Â Â Â  GemÃ¤ss Art. 6 VVG ist die Berufung auf den Vertragsabschlussmangel verspÃ¤tet, wenn er nicht innert vier Wochen seit Kenntnis von der Verletzung der Anzeigepflicht vom Versicherer erklÃ¤rt wird. Dabei handelt es sich nicht um eine VerjÃ¤hrungs-, sondern um eine Verwirkungsfrist, deren Lauf weder gehemmt noch unterbrochen werden kann. Nach der Rechtsprechung beginnt die vierwÃ¶chige Frist ab dem Zeitpunkt zu laufen, ab welchem der Versicherer vollstÃ¤ndig Ã¼ber die Anzeigepflichtverletzung orientiert ist, d.h. darÃ¼ber sichere, zweifelsfreie Kenntnis erlangt hat (BGE 118 II 340 Erw. 3a). Dieses Wissen kann er auch erlangen, wenn er zuverlÃ¤ssige Kunde von Tatsachen erhÃ¤lt, aus denen sich der sichere Schluss auf eine Verletzung der Anzeigepflicht ziehen lÃ¤sst (BGE 119 V 287 Erw. 5a). Eine juristische Person verfÃ¼gt Ã¼ber rechtlich relevante Kenntnis eines Sachverhalts, wenn das betreffende Wissen innerhalb ihrer Organisation abrufbar ist (BGE 109 II 342 f. Erw. 2b; Urteil des EidgenÃ¶ssischen Versicherungsgerichts in Sachen A. vom 1. Dezember 2003, B 50/02).</w:t>
      </w:r>
    </w:p>
    <w:p>
      <w:r>
        <w:t>2.Â Â Â Â Â Â</w:t>
      </w:r>
    </w:p>
    <w:p>
      <w:r>
        <w:t>2.1Â Â Â Â  Es ist vorliegend unstrittig, dass die IV-Stelle des Kantons Aargau der Beklagten die IV-Akten am 24. Januar 2003 eingeschrieben zugestellt hat. Laut Eingangsstempel der Beklagten sind ihr diese am 28. Januar 2003 zugegangen (Urk. 10/5). Die KlÃ¤gerin lÃ¤sst behaupten, die Akten seien der Beklagten bereits am 27. Januar 2003 zugegangen und stellt den Antrag, es seien bezÃ¼glich dieser Frage durch die Beklagte Beweise zu erbringen bzw. durch das Gericht einzuholen (Urk. 1 S. 2 f. und Urk. 21 S. 2 f.). Darauf kann jedoch verzichtet werden, da unstrittig ist, dass die Beklagte mit ihrer RÃ¼cktrittserklÃ¤rung vom 28. Februar 2003 (Urk. 2/11) die vierwÃ¶chige RÃ¼cktrittsfrist verpasst hat, wenn davon ausgegangen wird, dass der Fristenlauf mit Zustellung der IV-Akten am 28. Januar 2003 ausgelÃ¶st worden ist. Zu prÃ¼fen ist somit die Frage, ob die Frist bereits mit der Zustellung der IV-Akten oder erst zu einem spÃ¤teren Zeitpunkt zu laufen begann.</w:t>
      </w:r>
    </w:p>
    <w:p>
      <w:r>
        <w:t>2.2Â Â Â Â  In den IV-Akten befinden sich folgende Dokumente, welche darauf schliessen lassen, dass die KlÃ¤gerin die BeitrittserklÃ¤rung vom 14. August 2000 (Urk. 2/5) nicht richtig ausgefÃ¼llt hat:</w:t>
      </w:r>
    </w:p>
    <w:p>
      <w:r>
        <w:t>Â· Ziffer 7 der Anmeldung zum Leistungsbezug vom 30. Juni 2002 (Urk. 16/57): Die KlÃ¤gerin gibt an, sie leide unter einem Morbus Meulengracht mit hÃ¤molytischer AnÃ¤mie, chronischem Eisenmangel und HyperbilirubinÃ¤mie sowie einem Thoracic-Outlet-Syndrom beidseits. Diese Behinderung bestehe seit ca. Mitte 1997, und sie seit diesem Zeitpunkt deswegen bei ihrem Hausarzt, Dr. med. D.___, in Behandlung.</w:t>
      </w:r>
    </w:p>
    <w:p>
      <w:r>
        <w:t>Â· Zwischenbericht aus der HÃ¤matologischen Sprechstunde der UniversitÃ¤tsklinik E.___ vom 31. Dezember 1998 (Urk. 16/51-52) sowie Kurzbericht vom 13. Januar 1999 (Urk. 16/49-50) mit folgender Diagnose: Chronische MÃ¼digkeit unklarer Aetiologie (Differentialdiagnose: bei grenzwertigen Eisenspeichern, im Rahmen eines Morbus Meulengracht, chronic fatigue syndrome, chronischer Virusinfekt, immunologische Erkrankung), Status nach EisenmangelanÃ¤mie 1997/98 (aktuell: unauffÃ¤lliges Blutbild, Ferritin 43 mcg/l [15-200]), Morbus Meulengracht (Bilirubin 42 m mol/l bei unauffÃ¤lligen Leberwerten) sowie HypercholesterinÃ¤mie.</w:t>
      </w:r>
    </w:p>
    <w:p>
      <w:r>
        <w:t>Â· Bericht des Bereichs Innere Medizin der UniversitÃ¤tsklinik E.___ vom 7. Juni 1999 (Urk. 16/44-45) mit folgender Diagnose: Starke MÃ¼digkeit unklarer Aetiologie (keine Hinweise fÃ¼r endokrinologische Ursache, insbesondere auch nicht fÃ¼r NNR-Insuffizienz), Morbus Meulengracht sowie anamnestisch AnÃ¤mie und Eisenmangel unklarer Aetiologie.</w:t>
      </w:r>
    </w:p>
    <w:p>
      <w:r>
        <w:t>Â· Berichte des HÃ¤matologielabors der UniversitÃ¤tsklinik E.___ vom 17. MÃ¤rz 1999 (Urk. 16/36-41), in welchem die gestellte Diagnose bestÃ¤tigt wird. Es wird erwÃ¤hnt, dass der Vater der KlÃ¤gerin ebenfalls Morbus Meulengracht habe. Weiter wird ausgefÃ¼hrt, dass die Zuweisung der KlÃ¤gerin zur Beurteilung einer beinahe invalidisierenden MÃ¼digkeit seit ca. 2 Jahren erfolgt sei, welche gleichzeitig mit einer EisenmangelanÃ¤mie begonnen habe, sich jedoch nur temporÃ¤r habe korrigieren lassen. Laut Angaben der KlÃ¤gerin erlaube ihr die MÃ¼digkeit wohl noch die BewÃ¤ltigung der alltÃ¤glichen Arbeit, jedoch mit deutlich grÃ¶sserer MÃ¼he als frÃ¼her. Sie mÃ¼sse sich in der Mittagspause hinlegen und auch ihre sportliche LeistungsfÃ¤higkeit habe deutlich abgenommen. Die KlÃ¤gerin berichte nun zusÃ¤tzlich Ã¼ber morgendliches Beinahe-Kollabieren. Eine Ursache dieser Beschwerden habe jedoch noch nicht eindeutig eruiert werden kÃ¶nnen.</w:t>
      </w:r>
    </w:p>
    <w:p>
      <w:r>
        <w:t>Â· Schreiben der KlÃ¤gerin an die IV-Stelle vom 7. Oktober 2002 (Urk. 16/7): Die KlÃ¤gerin hÃ¤lt darin fest, dass sie seit Jahren unter einer extremen MÃ¼digkeit und verminderten LeistungsfÃ¤higkeit leide. Es sei ihr deshalb praktisch nie mÃ¶glich gewesen, mehr als drei volle Arbeitstage hintereinander zu absolvieren. Aus diesem Grund habe sie schon im Spital A.___ (1996 - 2000) nur zu 90 % gearbeitet. Den freien Donnerstag-Nachmittag habe sie dringend zum Ausruhen benÃ¶tigt. Auch ihre Anstellung im Spital B.___ habe sie deshalb nur zu 90 % angenommen.</w:t>
      </w:r>
    </w:p>
    <w:p>
      <w:r>
        <w:t>2.3Â Â Â Â  Die Beklagte hatte demnach aufgrund der IV-Akten eindeutige Kenntnis darÃ¼ber, dass die KlÃ¤gerin allenfalls Anlass gehabt hÃ¤tte, in der BeitrittserklÃ¤rung vom 14. August 2000 Angaben Ã¼ber vorhandene gesundheitliche BeeintrÃ¤chtigungen zu machen. Sie stÃ¼tzt denn ihren Vorwurf gegenÃ¼ber der KlÃ¤gerin auch ausschliesslich auf in den IV-Akten enthaltenen Unterlagen ab (vgl. Urk. 10/1-3 und Urk. 10/6-7) und behauptet selbst nicht, dass sie erst durch das Einholen weiterer Urkunden oder zusÃ¤tzlicher Beurteilungen (etwa eines Vertrauensarztes) sichere Kenntnis von der mÃ¶glichen Anzeigepflichtverletzung erhalten habe. Es trifft zwar zu, dass sich diese nicht aus einem der Beklagten einzeln zugestellten einzigen SchriftstÃ¼ck ergab, sondern ein ganzes Dossier zu prÃ¼fen war. Angesichts der Vielzahl von entsprechenden Urkunden kann aber nicht gesagt werden, dieser Schluss hÃ¤tte erst nach einer intensiven Sichtung der IV-Akten gezogen werden kÃ¶nnen.</w:t>
      </w:r>
    </w:p>
    <w:p>
      <w:r>
        <w:t>2.4Â Â Â Â  Die Beklagte wendet jedoch ein (Urk. 9 und Urk. 27), sie sei eine kleine Pensionskasse, deren operative Betreuung damals durch einen GeschÃ¤ftsfÃ¼hrer, eine Prokuristin sowie zwei fest und eine teilzeitig angestellte Mitarbeiterinnen bewÃ¤ltigt worden sei. Die PrÃ¼fung von IV-Dossiers obliege der Prokuristin. Bis Ende Januar 2003 sei diese vollstÃ¤ndig absorbiert gewesen durch die Fertigstellung des Jahresabschlusses und durch die mit dieser Arbeit Ã¼berschneidend erfolgten EinfÃ¼hrung des und Umschulung auf das am 23./24. Januar 2003 installierte neue EDV-System. Am 3. Februar 2003 hÃ¤tten ab diesem System die ersten Rentenzahlungen ausgelÃ¶st werden kÃ¶nnen. Da die Renten innerhalb der ersten 10 Tage jedes Monats auszuzahlen seien, sei die Kalenderwoche 6/2003 vollstÃ¤ndig mit der noch mit vielen HÃ¼rden und Erschwerungen versehenen Auszahlung der Renten fÃ¼r Februar 2003 ausgefÃ¼llt gewesen. Erst anfangs der darauf folgenden Woche, nÃ¤mlich am Montag 10. Februar, eventuell am Dienstag 11. Februar 2003 sei es der Prokuristin mÃ¶glich gewesen, die IV-Akten in Sachen der KlÃ¤gerin zur Kenntnis zu nehmen und sie unmittelbar nach Kenntnisnahme am 12. Februar 2003 zurÃ¼ckzusenden. Dementsprechend habe die Frist frÃ¼hestens am 10. Februar 2003 zu laufen begonnen.</w:t>
      </w:r>
    </w:p>
    <w:p>
      <w:r>
        <w:t>2.5Â Â Â Â  Dieser Argumentation kann nicht gefolgt werden. Die Beklagte hatte mit Eingang der IV-Akten spÃ¤testens am 28. Januar 2003 Kenntnis vom Sachverhalt, da dieser zu jenem Zeitpunkt innerhalb der in die Rechtsform einer Genossenschaft (vgl. Art. 1.1 der Statuten, Urk. 2/6) gekleideten Beklagten im Sinne der zitierten Rechtsprechung abrufbar war. WÃ¼rde fÃ¼r den Beginn des Fristenlaufs ungeachtet des Zeitpunktes, an dem die Akten bei der Vorsorgeeinrichtung eintreffen, auf die effektive Kenntnisnahme abgestellt, hÃ¤tte es diese in der Hand, den Beginn der Verwirkungsfrist nach GutdÃ¼nken festzulegen. Es mag wohl zutreffen, dass die zustÃ¤ndige Prokuristin mit anderweitigen wichtigen Aufgaben beschÃ¤ftigt war, es war aber letztlich ihr freier Entscheid, die PrÃ¼fung der AnsprÃ¼che der KlÃ¤gerin weniger dringlich zu behandeln. Da der RÃ¼cktritt vom Vertrag fÃ¼r die versicherte Person eine einschneidende Massnahme darstellt, hat die Vorsorgeeinrichtung hinsichtlich der Wahrung der Frist besondere Sorgfalt anzuwenden. Die vierwÃ¶chige Frist reicht aus, um zu entscheiden, ob vom Vorsorgevertrag im Ã¼berobligatorischen Bereich zurÃ¼ckzutreten ist. Auch unter BerÃ¼cksichtigung des Umstandes, dass die zustÃ¤ndige Prokuristin der Beklagten wÃ¤hrend rund der ersten HÃ¤lfte der Frist mit anderen TÃ¤tigkeiten beschÃ¤ftigt war, wÃ¤re es denn auch mÃ¶glich gewesen, nach dem 10. Februar 2003 noch fristgerecht den RÃ¼cktritt zu erklÃ¤ren.</w:t>
      </w:r>
    </w:p>
    <w:p>
      <w:r>
        <w:t>2.6Â Â Â Â  Die Verwirkungsfrist von vier Wochen gemÃ¤ss Art. 6 VVG begann demnach entgegen der Auffassung der Beklagten nicht erst durch die effektive Kenntnisnahme des IV-Dossiers durch ihre Mitarbeiterin am 10. oder 11. Februar 2003, sondern bereits mit dem Eingang der IV-Akten, welcher spÃ¤testens am 28. Januar 2003 stattfand. Der mit Schreiben vom 28. Februar 2003 (Urk. 2/11) erklÃ¤rte RÃ¼cktritt der Beklagten erfolgte folglich nicht innert der vierwÃ¶chigen Frist gemÃ¤ss Art. 6 VVG und ist deshalb verspÃ¤tet.</w:t>
      </w:r>
    </w:p>
    <w:p>
      <w:r>
        <w:t>3.Â Â Â Â Â Â  Die Frage der Anzeigepflichtverletzung kann vorliegend offen bleiben. Denn selbst wenn sie gegeben wÃ¤re, hat die Beklagte diese verspÃ¤tet geltend gemacht, so dass ihr RÃ¼cktrittsrecht verwirkt ist (BGE 119 V 287 Erw. 5a, 116 V 229 Erw. 6a). Demzufolge besteht ein Anspruch der KlÃ¤gerin auf Ã¼berobligatorische Invalidenleistungen der Beklagten, was zur Gutheissung der Klage fÃ¼hrt.</w:t>
      </w:r>
    </w:p>
    <w:p>
      <w:r>
        <w:t>4.Â Â Â Â Â Â Â Â GemÃ¤ss Â§ 34 Abs. 1 des Gesetzes Ã¼ber das Sozialversicherungsgericht (GSVGer) haben die Parteien auf Antrag nach Massgabe ihres Obsiegens Anspruch auf den vom Gericht festzusetzenden Ersatz der Parteikosten. Dieser wird ohne RÃ¼cksicht auf den Streitwert nach der Bedeutung der Streitsache und nach der Schwierigkeit des Prozesses bemessen.</w:t>
      </w:r>
    </w:p>
    <w:p>
      <w:r>
        <w:t>Unter WÃ¼rdigung aller UmstÃ¤nde erscheint vorliegend die Zusprechung einer ProzessentschÃ¤digung von Fr. 2'400.-- (inkl. Mehrwertsteuer und Barauslagen) als gerechtfertigt.</w:t>
      </w:r>
    </w:p>
    <w:p>
      <w:r>
        <w:t>Das Gericht erkennt:</w:t>
      </w:r>
    </w:p>
    <w:p>
      <w:r>
        <w:t>1.Â Â Â Â Â Â Â Â  In Gutheissung der Klage wird die Beklagte verpflichtet, der KlÃ¤gerin die Ã¼berobligatorischen Leistungen gemÃ¤ss ihrem Reglement zu erbringen.</w:t>
      </w:r>
    </w:p>
    <w:p>
      <w:r>
        <w:t>2.Â Â Â Â Â Â Â Â  Das Verfahren ist kostenlos.</w:t>
      </w:r>
    </w:p>
    <w:p>
      <w:r>
        <w:t>3.Â Â Â Â Â Â Â Â  Die Beklagte wird verpflichtet, der KlÃ¤gerin eine ProzessentschÃ¤digung von Fr. 2'400.-- (inkl. Mehrwertsteuer und Barauslagen) zu bezahlen.</w:t>
      </w:r>
    </w:p>
    <w:p>
      <w:r>
        <w:t>4.Â Â Â Â Â Â Â Â  Zustellung gegen Empfangsschein an:</w:t>
      </w:r>
    </w:p>
    <w:p>
      <w:r>
        <w:t>- Advokat Erich ZÃ¼blin</w:t>
      </w:r>
    </w:p>
    <w:p>
      <w:r>
        <w:t>- Rechtsanwalt Dr. Christian Klein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