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BV.2003.00041 vom 11. Dezember 2003</w:t>
      </w:r>
    </w:p>
    <w:p>
      <w:r>
        <w:t>ZH Sozialversicherungsgericht, 2003-12-11, DE</w:t>
      </w:r>
    </w:p>
    <w:p>
      <w:r>
        <w:rPr>
          <w:b/>
        </w:rPr>
        <w:t xml:space="preserve">Quelle: </w:t>
      </w:r>
      <w:r>
        <w:t>https://mcp.opencaselaw.ch/entscheid/zh_sozialversicherungsgericht_BV.2003.00041</w:t>
      </w:r>
    </w:p>
    <w:p>
      <w:r>
        <w:t>FR: ZH_SOZIALVERSICHERUNGSGERICHT BV.2003.00041 du 11 décembre 2003</w:t>
      </w:r>
    </w:p>
    <w:p>
      <w:r>
        <w:t>IT: ZH_SOZIALVERSICHERUNGSGERICHT BV.2003.00041 del 11 dicembre 2003</w:t>
      </w:r>
    </w:p>
    <w:p>
      <w:pPr>
        <w:pStyle w:val="Heading2"/>
      </w:pPr>
      <w:r>
        <w:t>Erwägungen</w:t>
      </w:r>
    </w:p>
    <w:p>
      <w:r>
        <w:rPr>
          <w:b/>
        </w:rPr>
        <w:t>E. 1</w:t>
      </w:r>
    </w:p>
    <w:p>
      <w:r>
        <w:t>1.1Â Â Â Â  Nach Art. 20 des Bundesgesetzes Ã¼ber die berufliche Alters-, Hinterlassenen- und Invalidenvorsorge (BVG) haben die Kinder des Verstorbenen Anspruch auf Waisenrenten, Pflegekinder nur, wenn der Verstorbene fÃ¼r ihren Unterhalt aufzukommen hatte.</w:t>
      </w:r>
    </w:p>
    <w:p>
      <w:r>
        <w:t>1.2Â Â Â Â  GemÃ¤ss Ziffer 4.3 des Reglements der Beklagten vom 1. Januar 1997 (Urk. 2/10) haben eheliche oder die nach dem Gesetz gleichgestellten Kinder von verstorbenen aktiven Versicherten und RentenbezÃ¼gern Anspruch auf eine Waisenrente.</w:t>
      </w:r>
    </w:p>
    <w:p>
      <w:r>
        <w:t>1.3Â Â Â Â  Laut Art. 252 Abs. 2 des Schweizerischen Zivilgesetzbuches (ZGB) wird das KindesverhÃ¤ltnis zwischen dem Kind und dem Vater kraft der Ehe der Mutter begrÃ¼ndet oder durch Anerkennung oder durch das Gericht festgestellt. Ausserdem entsteht das KindesverhÃ¤ltnis durch Adoption (Art. 252 Abs. 3 ZGB). Ist ein Kind wÃ¤hrend der Ehe geboren, so gilt nach Art. 255 Abs. 1 ZGB der Ehemann als Vater.</w:t>
      </w:r>
    </w:p>
    <w:p>
      <w:r>
        <w:t>1.4Â Â Â Â Â  In der Alters- und Hinterlassenenversicherung wurde die Regelung der Waisenrente fÃ¼r Pflegekinder vom Bundesrat gestÃ¼tzt auf Art. 25 Abs. 3 des Bundesgesetzes Ã¼ber die Alters- und Hinterlassenenversicherung (AHVG) in Art. 49 der Verordnung Ã¼ber die Alters- und Hinterlassenenversicherung (AHVV) vorgenommen. Nach Abs. 1 dieser Bestimmung haben Pflegekinder beim Tod der Pflegeeltern Anspruch auf eine Waisenrente, wenn sie unentgeltlich zu dauernder Pflege und Erziehung aufgenommen worden sind.</w:t>
      </w:r>
    </w:p>
    <w:p>
      <w:r>
        <w:t>Nach stÃ¤ndiger Rechtssprechung zu Art. 49 AHVV gilt als Pflegekind im Sinne dieser Bestimmung ein Kind, das sich in der Pflegefamilie tatsÃ¤chlich der Lage eines ehelichen Kindes erfreut und dessen Pflegeeltern die Verantwortung fÃ¼r Unterhalt und Erziehung wie gegenÃ¼ber einem eigenen Kind wahrnehmen (EVGE 1966 S. 234 Erw. 2 mit Hinweis). Das sozialversicherungsrechtlich wesentliche Element des PflegekindverhÃ¤ltnisses liegt in der tatsÃ¤chlichen Ãbertragung der Lasten und Aufgaben auf die Pflegeeltern, die gewÃ¶hnlich den leiblichen Eltern zufallen; auf den Grund dieser Ãbertragung kommt es nicht an (EVGE 1965 S. 245 Erw. 2a; ZAK 1992 S. 122.); der Stiefvater, der das Stiefkind in Pflege genommen hat, wird als Pflegevater des Kindes betrachtet (vgl. ZAK 1967 S. 230 Erw. 1 mit Hinweisen).</w:t>
      </w:r>
    </w:p>
    <w:p>
      <w:r>
        <w:t>Unentgeltlich im Sinne des Gesetzes ist das PflegeverhÃ¤ltnis, wenn die an die Pflegeeltern fÃ¼r das Kind von dritter Seite erbrachten Leistungen (z.B. UnterhaltsbeitrÃ¤ge der Eltern oder von Verwandten, Alimentenbevorschussung, Kostgelder, Sozialversicherungsrenten, private Versicherungsleistungen) weniger als einen Viertel der tatsÃ¤chlichen Unterhaltskosten decken (ZAK 1958 S. 335; ZAK 1973 S. 573). Nicht als Entgelt zu betrachten sind das eigene Erwerbseinkommen des Kindes, die den Pflegeeltern oder Eltern ausgerichteten Familien- und Kinderzulagen, Gelegenheitsgeschenke sowie Stipendien (Rz 3312 der Wegleitung Ã¼ber die Renten [RWL] in der EidgenÃ¶ssischen Alters-, Hinterlassenen- und Invalidenversicherung, gÃ¼ltig ab 1. Januar 2003).</w:t>
      </w:r>
    </w:p>
    <w:p>
      <w:r>
        <w:t>1.5Â Â Â Â  GemÃ¤ss Art. 6 BVG enthÃ¤lt der zweite Teil dieses Gesetzes (Art. 7 bis 47) Mindestvorschriften. Laut Art. 49 Abs. 1 BVG sind die Vorsorgeeinrichtungen im Rahmen dieses Gesetzes in der Gestaltung ihrer Leistungen, in deren Finanzierung und Organisation frei. GewÃ¤hrt eine Vorsorgeeinrichtung mehr als die Mindestleistungen, so gelten gemÃ¤ss Art. 49 Abs. 2 BVG fÃ¼r die weitergehende Vorsorge nur die Vorschriften Ã¼ber die paritÃ¤tische Verwaltung (Art. 51), die Verantwortlichkeit (Art. 52), die Kontrolle (Art. 53), den Sicherheitsfonds (Art. 56 Abs. 1 Bst. c und Abs. 2-5, Art. 56a, 57 und 59), die Aufsicht (Art. 61, 62 und 64), die finanzielle Sicherheit (Art. 65 Abs. 1, Art. 67, 69 und 71), die Rechtspflege (Art. 73 und 74) sowie die Strafbestimmungen (Art. 75-79). Zudem enthalten Art. 331a-331e des Obligationenrechts (OR) zwingende Vorschriften, die sowohl die obligatorische wie die weitergehende berufliche Vorsorge betreffen.</w:t>
      </w:r>
    </w:p>
    <w:p>
      <w:r>
        <w:t>1.6Â Â Â Â  WÃ¤hrend das RechtsverhÃ¤ltnis zwischen Vorsorgeeinrichtung und versicherter Person im obligatorischen Bereich unmittelbar durch die gesetzlichen Normen insbesondere des BVG bestimmt ist, handelt es sich beim VorsorgeverhÃ¤ltnis im Ã¼berobligatorischen Bereich um einen Innominatsvertrag (eigener Art) zwischen der privatrechtlichen Vorsorgeeinrichtung und der versicherten Person (BGE 122 V 145 Erw. 4a; Riemer, Vorsorge-, FÃ¼rsorge- und SparvertrÃ¤ge der beruflichen Vorsorge, InnominatsvertrÃ¤ge, Festgabe zum 60. Geburtstag von Walter R. Schluep, S. 231 ff.). InnominatsvertrÃ¤ge sind VertrÃ¤ge, die gesetzlich nicht besonders geregelt und auf die daher in erster Linie die Vorschriften des Allgemeinen Teils des Obligationenrechts (OR) anzuwenden sind. Im Gegensatz zu anderen InnominatsvertrÃ¤gen, die Elemente gesetzlich besonders geregelter VertrÃ¤ge oder Institute enthalten, schliesst Art. 49 Abs. 2 BVG die zwingende Anwendung materieller Bestimmungen des gesetzlich geregelten RechtsverhÃ¤ltnisses auf den Vorsorgevertrag aus; vorbehalten bleiben die zwingenden Bestimmungen in Art. 331a-331e OR.</w:t>
      </w:r>
    </w:p>
    <w:p>
      <w:r>
        <w:t>Â Â Â Â Â Â Â Â  Die Vertragsfreiheit nach Art. 49 Abs. 2 BVG bedeutet indes nicht, dass die Vorsorgeeinrichtung bei der DurchfÃ¼hrung der weitergehenden Vorsorge nur die in Art. 49 Abs. 2 BVG ausdrÃ¼cklich vorbehaltenen organisatorischen und die in Art. 331a-331e OR enthaltenen materiellen Bestimmungen zu beachten hÃ¤tten. Vielmehr sind die Vorsorgeeinrichtungen bei der Gestaltung und DurchfÃ¼hrung der Ã¼berobligatorischen Versicherung von Verfassung wegen insbesondere an die allgemeinen RechtsgrundsÃ¤tze der Rechtsgleichheit, des WillkÃ¼rverbots, der VerhÃ¤ltnismÃ¤ssigkeit und an den Grundsatz des Handelns nach Treu und Glauben gebunden (vgl. BGE 115 V 109 Erw. 4b; Hermann Walser, Weitergehende berufliche Vorsorge, in BSVR/Soziale Sicherheit, Basel/Genf/MÃ¼nchen 1998, N 142 mit Hinweisen auf die Rechtsprechung).</w:t>
      </w:r>
    </w:p>
    <w:p>
      <w:r>
        <w:t>1.7Â Â Â Â  Bei den klassischen VorsorgevertrÃ¤gen ohne individuelle Abreden stellt das Reglement den vorformulierten Vertragsinhalt beziehungsweise die Allgemeinen Vertragsbedingungen (AGB) des Vorsorgevertrags dar. Die Auslegung des Reglements geschieht nach dem Vertrauensprinzip. Dabei sind die fÃ¼r Allgemeine Vertragsbedingungen geltende Unklarheits- und UngewÃ¶hnlichkeitsregel sowie in deren Rahmen allenfalls die Unbilligkeitsregel zu beachten (vgl. BGE 122 V 146 Erw. 4c, Urteil des EidgenÃ¶ssischen Versicherungsgerichts vom 14. Januar 2003 in Sachen Y., B 76/02). Werden im Reglement Begriffe verwendet, die sich auch in gesetzlichen Erlassen, beispielsweise in Sozialversicherungsgesetzen oder im Zivilgesetzbuch (ZGB) finden, so kÃ¶nnen die gesetzlichen Begriffe als Auslegungshilfen herangezogen werden (vgl. Riemer, a.a.O., S. 238). Ist kein tatsÃ¤chlicher oder hypothetischer Wille der Parteien feststellbar, so ergÃ¤nzt das Gericht den Vorsorgevertrag mittels einer generell-abstrakten Norm nach Massgabe von Art. 1 Abs. 2 und 3 ZGB (vgl. Urteil des EidgenÃ¶ssischen Versicherungsgerichts vom 14. Januar 2003 in Sachen Y., B 76/02; Riemer, a.a.O., S. 239).</w:t>
      </w:r>
    </w:p>
    <w:p>
      <w:r>
        <w:rPr>
          <w:b/>
        </w:rPr>
        <w:t>E. 2</w:t>
      </w:r>
    </w:p>
    <w:p>
      <w:r>
        <w:t>2.1Â Â Â Â  Die KlÃ¤ger liessen zur BegrÃ¼ndung ihrer Klage geltend machen, entscheidend fÃ¼r die Beurteilung ihres Leistungsanspruches sei die Auslegung der Formulierung "die nach Gesetz gleichgestellten Kinder" im Sinne von Ziffer 4.3 des Reglements der Beklagten. Ihrer Auffassung nach seien unter den Worten "nach Gesetz" ohne weiteres auch die Bestimmungen des AHV-Rechts zu subsumieren, welche im RÃ¼ckversicherungsvertrag, der die Leistungen der Beklagten versicherungstechnisch absichere, ohnehin explizit erwÃ¤hnt wÃ¼rden. Unter diesem Gesichtspunkt sei festzuhalten, dass B.___ bis zu seinem Tod fÃ¼r den Unterhalt seiner Stiefkinder, der beiden KlÃ¤ger, zumindest Ã¼berwiegend aufgekommen sei. Entsprechend richte die AHV denn auch Waisenrenten aus. Unter Beachtung des AHV-Rechts und der tatsÃ¤chlichen Lebenssituation der KlÃ¤ger sowie unter BerÃ¼cksichtigung des RÃ¼ckversicherungsvertrages mÃ¼sse das Reglement der Beklagten demnach so ausgelegt werden, dass die KlÃ¤ger als Stiefkinder nach Gesetz den ehelichen gleichgestellt seien. Die Beklagte habe somit den KlÃ¤gern die reglementarischen Waisenrenten zu erbringen (Urk. 1 und Urk. 14).</w:t>
      </w:r>
    </w:p>
    <w:p>
      <w:r>
        <w:t>2.2Â Â Â Â  DemgegenÃ¼ber liess die Beklagte ausfÃ¼hren, es handle sich bei den KlÃ¤gern nicht um nach Gesetz gleichgestellte Kinder im Sinne des Reglements, da diese Frage alleine aufgrund der Bestimmungen des ZGB zu entscheiden sei. Aus freiem Ermessen habe sie aber beschlossen, den KlÃ¤gern eine Waisenrente gemÃ¤ss BVG zukommen zu lassen. Sollte entgegen ihrer Ansicht jedoch der Anspruch auf reglementarische Waisenrenten bejaht werden, so wÃ¤re die Beklagte berechtigt, diese wegen Vorliegens einer ÃberentschÃ¤digung zu kÃ¼rzen (Urk. 7 und Urk. 17).</w:t>
      </w:r>
    </w:p>
    <w:p>
      <w:r>
        <w:rPr>
          <w:b/>
        </w:rPr>
        <w:t>E. 3</w:t>
      </w:r>
    </w:p>
    <w:p>
      <w:r>
        <w:t>3.1Â Â Â Â  Das EidgenÃ¶ssische Versicherungsgericht (EVG) hat im Urteil vom 16. Dezember 1998 in Sachen S + M. gegen Pensionskasse der Stadt A. (B 33/97) die Frage geprÃ¼ft, ob dem Stiefkind des Versicherten reglementarische Waisenrenten zustehen, wenn das Reglement einen Anspruch fÃ¼r eheliche und nach Gesetz gleichgestellte Kinder vorsieht. Es hat dazu festgehalten, dass der Grundsatz zu beachten sei, dass das Familienrecht (und mithin das Kindesrecht nach Art. 252 ff. ZBG) eine Ordnung darstelle, die von der Sozialversicherung vorausgesetzt werde und dieser daher grundsÃ¤tzlich vorgehe. Dabei entspreche es konstanter Rechtsprechung, dass der Gesetzgeber, wenn er im Sozialversicherungsrecht Regelungen mit AnknÃ¼pfung an familienrechtliche Sachverhalte (beispielsweise Ehe, Verwandtschaft oder Vormundschaft) treffe, von ihrer Bedeutung her, vorbehÃ¤ltlich gegenteiliger Anordnung, diejenigen Institute - und nur diese - im Blickfeld habe, die das Familienrecht kenne (BGE 124 V 64 Erw. 4, 121 V 125 Erw. 2c, 119 V 429 Erw. 5b und 430 Erw. 6, 117 V 292 Erw. 3c). AnknÃ¼pfungen an familienrechtliche Begriffe kÃ¤men im Sozialversicherungsrecht hÃ¤ufig vor. Das EVG habe diesem Grundsatz, wonach das Familienrecht fÃ¼r das Sozialversicherungsrecht Voraussetzung sei und diesem daher - vorbehÃ¤ltlich anderer Regelung - grundsÃ¤tzlich vorgehe, in seiner Rechtsprechung stets Rechnung getragen. Es sei daher einzig anhand der zivilrechtlichen Regelung zu prÃ¼fen, welche Kinder den ehelichen gleichgestellt seien. Im betreffenden Fall hielt das EVG fest, dass der verstorbene Versicherte sein Stiefkind nicht adoptiert habe, sondern im Gegenteil nach wie vor ein KindesverhÃ¤ltnis zum leiblichen Vater bestehe, da dieses durch die Scheidung der Mutter nicht aufgehoben worden sei. Zivilrechtlich gelte das Kind somit weder als ehelich oder von Gesetzes wegen einem solchen gleichgestellt und kÃ¶nne somit aufgrund dieser Vorschriften in Verbindung mit dem Reglement der Pensionskasse keine Waisenrente beanspruchen. Daran vermÃ¶ge die Berufung auf Art. 278 Abs. 2 ZGB nichts zu Ã¤ndern, denn diese Bestimmung beschlage die Unterhaltspflicht der Stiefeltern gegenÃ¼ber vorehelichen, nicht gemeinsam gezeugten Kindern, vermÃ¶ge jedoch kein KindesverhÃ¤ltnis zu begrÃ¼nden. Zudem sei die Unterhaltspflicht des Stiefvaters gegenÃ¼ber derjenigen des leiblichen Vaters subsidiÃ¤r.</w:t>
      </w:r>
    </w:p>
    <w:p>
      <w:r>
        <w:t>3.2Â Â Â Â  Im Gegensatz zum dem EVG-Entscheid zugrundeliegenden Fall, wo es sich bei der betroffenen Vorsorgeeinrichtung um eine solche des Ã¶ffentlichen Rechts handelte und das Reglement somit nach den gewÃ¶hnlichen Regeln der Gesetzesauslegung zu interpretieren war, hat vorliegend die Auslegung des Reglements der Beklagten nach dem Vertrauensprinzip unter BerÃ¼cksichtigung der Unklarheits- und UngewÃ¶hnlichkeitsregeln zu erfolgen. Nachdem es sich mithin aber um die gleiche Formulierung handelt, kann nicht davon ausgegangen werden, dass die Parteien unter den "nach Gesetz den ehelichen gleichgestellten Kinder" abweichend von der EVG-Rechtsprechung auch nach anderen Gesetzen als dem ZGB gleichgestellte Kinder verstehen durften. Laut Art. 9 Ziff. 4 des RÃ¼ckversicherungsvertrages der Beklagten mit der Schweizerischen Lebensversicherungs- und Rentenanstalt (Rentenanstalt/Swiss Life) gelten als rentenberechtigte Kinder zwar auch die Pflegekinder der versicherten Person im Sinne von Art. 49 AHVV und die von der versicherten Person ganz oder Ã¼berwiegend unterhaltenen Stiefkinder (Urk. 2/11 S. 11). Es ist jedoch zu beachten, dass die KlÃ¤ger aus diesem Vertrag keine direkten Rechte ableiten kÃ¶nnen, sondern sie ihre AnsprÃ¼che auf das Reglement zu stÃ¼tzen haben. Letzteres sieht aber fÃ¼r diese beiden "Kategorien" von Kindern gerade keine Leistungen vor, sondern sinngemÃ¤ss nur fÃ¼r die im RÃ¼ckversicherungsvertrag ebenfalls erwÃ¤hnten Kinder gemÃ¤ss Art. 252 ZGB sowie den diesen gleichgestellten adoptierten und ausserehelichen nach altem Recht.</w:t>
      </w:r>
    </w:p>
    <w:p>
      <w:r>
        <w:t>4.Â Â Â Â Â Â  Zusammenfassend ist somit festzuhalten, dass die KlÃ¤ger weder eheliche noch nach dem Gesetz gleichgestellte Kinder des verstorbenen B.___ sind, weshalb sie keinen Anspruch auf eine reglementarische Waisenrente haben. Dies fÃ¼hrt zur Abweisung der Klage.</w:t>
      </w:r>
    </w:p>
    <w:p>
      <w:r>
        <w:t>Das Gericht erkennt:</w:t>
      </w:r>
    </w:p>
    <w:p>
      <w:r>
        <w:t>1.Â Â Â Â Â Â Â Â  Die Klage wird abgewiesen.</w:t>
      </w:r>
    </w:p>
    <w:p>
      <w:r>
        <w:t>2.Â Â Â Â Â Â Â Â  Das Verfahren ist kostenlos.</w:t>
      </w:r>
    </w:p>
    <w:p>
      <w:r>
        <w:t>3.Â Â Â Â Â Â Â Â  Zustellung gegen Empfangsschein an:</w:t>
      </w:r>
    </w:p>
    <w:p>
      <w:r>
        <w:t>- FÃ¼rsprecher Herbert Bracher</w:t>
      </w:r>
    </w:p>
    <w:p>
      <w:r>
        <w:t>- A.___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