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BV.2003.00004 vom 22. August 2003</w:t>
      </w:r>
    </w:p>
    <w:p>
      <w:r>
        <w:t>ZH Sozialversicherungsgericht, 2003-08-22, DE</w:t>
      </w:r>
    </w:p>
    <w:p>
      <w:r>
        <w:rPr>
          <w:b/>
        </w:rPr>
        <w:t xml:space="preserve">Quelle: </w:t>
      </w:r>
      <w:r>
        <w:t>https://mcp.opencaselaw.ch/entscheid/zh_sozialversicherungsgericht_BV.2003.00004</w:t>
      </w:r>
    </w:p>
    <w:p>
      <w:r>
        <w:t>FR: ZH_SOZIALVERSICHERUNGSGERICHT BV.2003.00004 du 22 août 2003</w:t>
      </w:r>
    </w:p>
    <w:p>
      <w:r>
        <w:t>IT: ZH_SOZIALVERSICHERUNGSGERICHT BV.2003.00004 del 22 agosto 2003</w:t>
      </w:r>
    </w:p>
    <w:p>
      <w:pPr>
        <w:pStyle w:val="Heading2"/>
      </w:pPr>
      <w:r>
        <w:t>Erwägungen</w:t>
      </w:r>
    </w:p>
    <w:p>
      <w:r>
        <w:rPr>
          <w:b/>
        </w:rPr>
        <w:t>E. 3</w:t>
      </w:r>
    </w:p>
    <w:p>
      <w:r>
        <w:t>3.1???? Gem?ss Art. 49 Abs. 1 BVG sind die Vorsorgeeinrichtungen im Rahmen dieses Gesetzes in der Gestaltung ihrer Leistungen, in deren Finanzierung und Organisation frei. Gew?hrt eine Vorsorgeeinrichtung mehr als die Mindestleistungen, so gelten gem?ss Art. 49 Abs. 2 BVG f?r die weitergehende Vorsorge nur die Vorschriften ?ber die parit?tische Verwaltung (Art. 51), die Verantwortlichkeit (Art. 52), die Kontrolle (Art. 53), den Sicherheitsfonds (Art. 56 Abs. 1 Bst. c und Abs. 2-5, Art. 56a, 57 und 59), die Aufsicht (Art. 61, 62 und 64), die finanzielle Sicherheit (Art. 65 Abs. 1, Art. 67, 69 und 71), die Rechtspflege (Art. 73 und 74) sowie die Strafbestimmungen (Art. 75-79).</w:t>
      </w:r>
    </w:p>
    <w:p>
      <w:r>
        <w:t>3.2???? W?hrend das Rechtsverh?ltnis zwischen Vorsorgeeinrichtung und versicherter Person im obligatorischen Bereich unmittelbar durch die gesetzlichen Normen insbesondere des BVG bestimmt ist, handelt es sich beim Vorsorgeverh?ltnis im ?berobligatorischen Bereich um einen Innominatsvertrag (eigener Art) zwischen der Vorsorgeeinrichtung und der versicherten Person (BGE 122 V 145 Erw. 4a; Riemer, Vorsorge-, F?rsorge- und Sparvertr?ge der beruflichen Vorsorge, Innominatsvertr?ge, Festgabe zum 60. Geburtstag von Walter R. Schluep, S. 231 ff.). Innominatsvertr?ge sind Vertr?ge, die gesetzlich nicht besonders geregelt, und auf die daher in erster Linie die Vorschriften des allgemeinen Teils des Obligationenrechts (OR) anzuwenden sind. Im Gegensatz zu anderen Innominatsvertr?gen, die Elemente gesetzlich besonders geregelter Vertr?ge oder Institute enthalten, schliesst Art. 49 Abs. 2 BVG die Anwendung zwingender materieller Bestimmungen dieser gesetzlich geregelten Rechtsverh?ltnisse auf den Vorsorgevertrag aus.</w:t>
      </w:r>
    </w:p>
    <w:p>
      <w:r>
        <w:t>Dies bedeutet aber nicht, dass die Vorsorgeeinrichtungen bei der Durchf?hrung der ?berobligatorischen Versicherungen nur die in Art. 49 Abs. 2 BVG ausdr?cklich vorbehaltenen organisatorischen Vorschriften zu beachten h?tten. Vielmehr sind die Vorsorgeeinrichtungen bei der materiellen Gestaltung und Durchf?hrung der ?berobligatorischen Versicherung von Verfassung wegen insbesondere an die allgemeinen Rechtsgrunds?tze der Rechtsgleichheit, des Willk?rverbots, der Verh?ltnism?ssigkeit und an den Grundsatz des Handelns nach Treu und Glauben gebunden (vgl. Hermann Walser, Weitergehende berufliche Vorsorge, in BSVR/Soziale Sicherheit, Basel/Genf/M?nchen 1998, N 142 mit Hinweisen auf die Rechtsprechung).</w:t>
      </w:r>
    </w:p>
    <w:p>
      <w:r>
        <w:t>3.3???? Nach Art. 113 Abs. 1 BV erl?sst der Bund Vorschriften ?ber die berufliche Vorsorge. Er beachtet dabei gem?ss Abs. 2 folgende Grunds?tze: Die berufliche Vorsorge erm?glicht zusammen mit der Alters-, Hinterlassenen- und Invalidenversicherung die Fortsetzung der gewohnten Lebenshaltung in angemessener Weise (lit. a); die berufliche Vorsorge ist f?r Arbeitnehmerinnen und Arbeitnehmer obligatorisch (lit. b erster Halbsatz).</w:t>
      </w:r>
    </w:p>
    <w:p>
      <w:r>
        <w:t>Mit Berufung auf die Botschaft des Bundesrates zum Entwurf betreffend die ?nderung der Bundesverfassung auf dem Gebiete der Alters-, Hinterlassenen- und Invalidenvorsorge vom 19. Dezember 1975 (BBl 1971 II 1597 ff.) wird in der Lehre der auslegungsbed?rftige Begriff der "Fortsetzung der gewohnten Lebenshaltung in angemessener Weise" mit einem Ersatzeinkommen aus der ersten und zweiten S?ule in der H?he von 60-70 % des letzten Verdienstes der versicherten Person umschrieben (Greber Pierre-Yves, Kommentar zur Art. 34 quater aBV, Rz 84 ff.; Erwin Murer, Wohnen, Arbeit, Soziale Sicherheit und Gesundheit, in Daniel Th?rer/Jean-Francois Aubert/J?rg Paul M?ller (Hrsg.), Verfassungsrecht der Schweiz, Z?rich 2001, S. 967 ff., 975). Wie sich dem Wortlaut von Art. 113 Abs. 2 lit. b BV sowie Art. 34 quater Abs. 3 aBV entnehmen l?sst, beschl?gt das Gestaltungsprinzip der Fortsetzung der gewohnten Lebenshaltung in angemessener Weise allein den obligatorischen Bereich der beruflichen Vorsorge. Diese obligatorische und nicht etwa erst die unter Vertragsabschluss- und -inhaltsfreiheit stehende ?berobligatorische berufliche Vorsorge soll das Ziel eines Ersatzeinkommens von 60-70 % des letzten Lohnes garantieren. Unbesehen der Frage, ob im angerufenen Entscheid das h?chste Gericht nicht allzu schnell geneigt war, ein allgemeines Prinzip des Sozialversicherungsrechts anzunehmen (zu dieser Fragestellung vgl. Thomas G?chter, Zur Zukunft der harmonisierenden Auslegung im Sozialversicherungsrecht, in SZS 2002, S. 522 ff., 540), vermag das Prinzip der Fortsetzung der gewohnten Lebenshaltung in angemessener Weise entgegen den Darlegungen im angef?hrten h?chstrichterlichen Urteil im ?berobligatorischen Bereich der beruflichen Vorsorge keine Rolle zu spielen. Folglich kann es auch nicht zur Bestimmung des betragsm?ssigen Verh?ltnisses einer ?berobligatorischen Invalidenrente und der an sie anschliessenden Altersrente angewendet werden.</w:t>
      </w:r>
    </w:p>
    <w:p>
      <w:r>
        <w:t>?</w:t>
      </w:r>
    </w:p>
    <w:p>
      <w:r>
        <w:rPr>
          <w:b/>
        </w:rPr>
        <w:t>E. 4</w:t>
      </w:r>
    </w:p>
    <w:p>
      <w:r>
        <w:t>4.1???? Selbst wenn das besagte Prinzip der angemessenen Fortsetzung der gewohnten Lebenshaltung den ?berobligatorischen Bereich der beruflichen Vorsorge beschlagen sollte, so sprechen materielle Gr?nde gegen eine Ableitung einer Regel ?ber das Verh?ltnis von Invalidenrente und anschliessender Altersrente im Bereich der ?berobligatorischen beruflichen Vorsorge im Sinne des zitierten Urteils vom 24. Juli 2001. Denn zahlreiche Vorsorgeeinrichtungen gestalten heute den Bereich der Risikoversicherung im Sinne eines Leistungsprimats, indem sie die Invalidenrente in Prozenten des letzten Verdienstes der versicherten Person berechnen, w?hrend die Altersleistungen nach dem Beitragsprimat bemessen werden. Jenes Leistungsprimatsystem im Bereich der Altersversicherung weiterzuf?hren, w?rde zu grossen Mehrkosten f?hren und daher erheblich h?here Versicherungsbeitr?ge erforderlich machen (vgl. dazu Markus Moser/Hans-Ulrich Stauffer/Isabelle Vetter, Das Urteil des EVG Nr. B 48/98 vom 24. Juli 2001 - Desaster oder einmalige 'Entgleisung'?, in AJP 2001, S. 1376 ff., 1379; Jacques-Andr? Schneider, ATF 127 V 259: La fin du syst?me de la biprimaut? des prestations dans la pr?voyance professionnelle?, in SZS 2002, S. 201 ff., 218 ff.).</w:t>
      </w:r>
    </w:p>
    <w:p>
      <w:r>
        <w:t>???????? Wenn die betragsm?ssige Angleichung der Altersleistungen an die Invalidit?tsleistungen erheblich mehr Deckungskapital erfordert, dann ist einerseits denkbar, dass die an der ?berobligatorischen Versicherung Beteiligten bereit sind, k?nftig solch h?here Pr?mien zu bezahlen. Andererseits ist ihnen aufgrund der Vertragsinhaltsfreiheit auch m?glich, Anpassungen auf der Leistungsseite vorzunehmen. Es muss daher damit gerechnet werden, dass die Beteiligten angesichts der zitierten Rechtsprechung k?nftig das System des Leistungsprimats im Bereich der Risikoversicherung aufgeben und die Vorsorgeeinrichtungen aus versicherungsmathematischen Gr?nden die anwartschaftlichen Invalidit?tsleistungen herabsetzen. Dies h?tte eine Verschlechterung der risikoversicherungsrechtlichen Stellung insbesondere von Personen mit Beitragsl?cken und mit niedrigen oder mittleren Einkommen zur Folge und w?rde den vom Eidgen?ssischen Versicherungsgericht angestrebten Effekt in sein Gegenteil verkehren (zur Diskussion dieses so genannten Bumerang-Effekts in der neueren Vertragslehre, vgl. Eva Maria Belser, Freiheit und Gerechtigkeit im Vertragsrecht, Diss. Freiburg 2000, S. 124 ff.). Dies muss in nochmals verst?rkter Weise f?r F?lle wie denjenigen des Kl?gers gelten, in denen die versicherten Personen sich zu einem fr?heren Zeitpunkt wegen Aufnahme einer selbst?ndigen Erwerbst?tigkeit ihr Altersguthaben ausbezahlen liessen und bei Eintritt in die nun leistungspflichtige Vorsorgeeinrichtung weder Freiz?gigkeitsleistungen mitgebracht noch Leistungseink?ufe get?tigt haben.</w:t>
      </w:r>
    </w:p>
    <w:p>
      <w:r>
        <w:t>4.2???? Das zitierte Urteil des Eidgen?ssischen Versicherungsgerichts leitet aus einem Prinzip der Bundesverfassung eine generell-abstrakte Regel ab, unter die konkrete Sachverhalte zu subsumieren sind. Eine solche richterrechtliche Regel muss gleich formellen Gesetzen nach den ?blichen Methoden der Gesetzesinterpretation ausgelegt werden. Hierzu geh?rt auch, dass das Gericht in Ausnahmef?llen einer Regel, die den ihr zugrundeliegenden Zweck nicht zu erreichen vermag oder sogar den Zustand, den sie zu verbessern beabsichtigt, verschlechtert, mithin zu einem sachlich unbefriedigenden oder stossenden Resultat f?hrt, die Anwendung versagen kann (vgl. H?felin Ulrich/M?ller Georg, Grundriss des Allgemeinen Verwaltungsrechts, 4. A., Z?rich 2002, Rz 237 ff.). Eine solche Norm stellt aus den in der vorangegangenen Erw?gung dargestellten Gr?nden die im zitierten Urteil aus Art. 113 BV abgeleitete richterrechtliche Regel dar. Angesichts der einhelligen Kritik im Schrifttum kann sie ?berdies nicht als bew?hrte ?berlieferung im Sinne von Art. 1 Abs. 3 des Schweizerischen Zivilgesetzbuches (ZGB) betrachtet werden. Das Sozialversicherungsgericht wendet sie daher nicht auf die vorliegende Streitsache an.</w:t>
      </w:r>
    </w:p>
    <w:p>
      <w:r>
        <w:rPr>
          <w:b/>
        </w:rPr>
        <w:t>E. 5</w:t>
      </w:r>
    </w:p>
    <w:p>
      <w:r>
        <w:t>5.1???? Demnach bleibt allein zu pr?fen, ob der Kl?ger aufgrund des Reglements der Sammelstiftung ab dem 1. August 2002 eine Altersrente in der H?he der ihr vorangegangenen Invalidenrente zusteht.</w:t>
      </w:r>
    </w:p>
    <w:p>
      <w:r>
        <w:t>5.2???? Nach ?bereinstimmenden Vorbringen der Parteien wurde dem Kl?ger aufgrund der versp?teten Anmeldung vom 7. Februar 1996 (Urk. 7/3) durch die Arbeitgeberin das Reglement f?r das mit Stellenantritt am 1. August 1993 begonnene Versicherungsverh?ltnis erst im August 1997 und mithin mehr als drei Jahre nach Eintritt der Arbeitsunf?higkeit sowie nach Beginn der Invalidenrente ausgeh?ndigt (vgl. Urk. 21). Da die nachfolgend dargestellten einschl?gigen Bestimmungen des Reglements 1989 und des Reglements 1997 identisch sind, kann offengelassen werden, ob vorliegendenfalls das erstere oder das letztere Reglement anwendbar ist.</w:t>
      </w:r>
    </w:p>
    <w:p>
      <w:r>
        <w:t>5.3????</w:t>
      </w:r>
    </w:p>
    <w:p>
      <w:r>
        <w:t>5.3.1?? Nach Art. 15 Ziff. 1 Abs. 1 des Reglements (1989 und 1997) hat eine im Sinne von Art. 5 invalide Person Anspruch auf eine Invalidenrente. Der Anspruch beginnt (...) nach einer Wartefrist von 3 Monaten, sp?testens mit dem Anspruch auf eine IV-Rente (Abs. 3). Der Anspruch auf die Invalidenrente erlischt, wenn die Invalidit?t wegf?llt, wenn die versicherte Person stirbt oder das R?cktrittsalter erreicht (Abs. 6 bzw. Abs. 7). Die j?hrliche Invalidenrente betr?gt laut Art. 15 Ziff. 2 des Reglements bei voller Invalidit?t 30 % des Jahreslohnes, mindestens aber 7,2 % des Endaltersguthabens ohne Zins.</w:t>
      </w:r>
    </w:p>
    <w:p>
      <w:r>
        <w:t>5.3.2?? Gem?ss Art. 13 Ziff. 1 des Reglements (1989 und 1997) hat die versicherte Person (...) Anspruch auf eine lebensl?ngliche Altersrente, wenn sie das R?cktrittsalter (...) erlebt. Die H?he der Altersrente ergibt sich laut Art. 13 Ziff. 2 des Reglements (1989 und 1997) durch Umwandlung des zu Beginn des Anspruchs auf die Altersrente vorhandenen Altersguthabens nach den Bestimmungen von Art. 14 BVG. Der Umwandlungssatz (versicherungstechnischer Wert zuz?glich Erg?nzung aus ?berschussanteilen) betr?gt z.Z. 7,2 % (Abs. 1). Art. 13 Ziffer 2 Abs. 2 (Reglement 1989) beziehungsweise Abs. 3 (Reglement 1997) enth?lt ausserdem Bestimmungen zur Altersrente einer invaliden Person. Das Reglement 1989 bestimmte: War eine versicherte Person unmittelbar vor Erreichen des R?cktrittsalters im Sinne der IV invalid, so gilt, soweit es sich nicht um einen Versicherungsfall gem?ss UVG oder MVG handelt, die folgende Bestimmung: Die sich aufgrund des Altersguthabens gem?ss BVG ergebende Altersrente wird mit der nach BVG unmittelbar vor Erreichen des R?cktrittsalters massgebenden Invalidenrente verglichen. Ist die genannte Altersrente tiefer, so wird der Differenzbetrag zus?tzlich zu der sich nach diesem Reglement ergebenden Altersrente erbracht. Die redaktionelle Fassung von Art. 13 Ziff. 2 Abs. 3 des Reglements 1997 lautet: Erreicht eine im Sinne der IV invalide Person das R?cktrittsalter als Bez?gerin oder Bez?ger einer Invalidenrente, so wird die sich aufgrund des Altersguthabens gem?ss BVG ergebende Altersrente mit der nach BVG massgebenden Invalidenrente verglichen. Ist die genannte Altersrente tiefer, so wird der Differenzbetrag zus?tzlich zu der sich nach diesem Reglement ergebenden Altersrente erbracht.</w:t>
      </w:r>
    </w:p>
    <w:p>
      <w:r>
        <w:t>Nachdem der Kl?ger eine Invalidenrente der Invalidenversicherung bezog und kein Versicherungsfall gem?ss dem Bundesgesetz ?ber die Unfallversicherung (UVG) oder der Milit?rversicherung (MVG) vorliegt, ist die unterschiedliche Ausgestaltung des ersten Satzes dieser Bestimmungen nicht relevant.</w:t>
      </w:r>
    </w:p>
    <w:p>
      <w:r>
        <w:t>5.4???? Wie sich Art. 15 Ziff. 1 Abs. 6 bzw. Abs. 7 in Verbindung mit Art. 13 Ziff. 1 des Reglements (1989 und 1997) ohne weiteres entnehmen l?sst, endet die am Leistungsprimat orientierte Invalidenrente einer versicherten Person mit Erreichen des ordentlichen Rentenalters und wird zu diesem Zeitpunkt von einer am Beitragsprimat orientierten Altersrente abgel?st. Hieraus folgt, dass die Beklagte im Falle des Kl?gers auch aufgrund des Reglements berechtigt war, die bis zum 31. Juli 2002 ausgerichtete Invalidenrente von j?hrlich Fr. 16'379.-- durch eine reglementarische Altersrente von j?hrlich Fr. 7'686.-- abzul?sen, zumal in ?bereinstimmung mit Art. 13 Ziff. 2 Abs. 2 bzw. Abs. 3 des Reglements (1989 und 1997) der gesetzliche Anteil von Fr. 4'630.-- der Altersrente h?her liegt als der gesetzliche Anteil von Fr. 3'976.-- der vorangegangenen Invalidenrente (inkl. Teuerungsanpassungen; vgl. Urk. 7/6. Die diesen Rentenbetreffnissen zugrunde liegenden Daten (die Lohnbez?ge des Kl?gers [vgl. auch Urk. 7/3], die Altersgutschriften, die Altersguthaben, die eventuellen Zinsen sowie der Umwandlungssatz) und Berechnungsweisen wurden in der Klageantwort vom 14. Februar 2003 (Urk. 6) in allen Details nachvollziehbar und zutreffend dargelegt und in der Folge von Seiten des Kl?gers nicht substantiiert bestritten, weshalb hierauf verwiesen werden kann.</w:t>
      </w:r>
    </w:p>
    <w:p>
      <w:r>
        <w:rPr>
          <w:b/>
        </w:rPr>
        <w:t>E. 5.5</w:t>
      </w:r>
    </w:p>
    <w:p>
      <w:r>
        <w:t>5.5.1?? Der Kl?ger bestreitet die Echtheit des von der Beklagten am 16. Mai 2003 eingereichte Reglements 1989. Es k?nne nicht ausgeschlossen werden, dass das bei der Kl?gerin elektronisch gespeicherte Reglement 1989 mithilfe des Textverarbeitungssystem abge?ndert worden sei. Der Kl?ger bringt zudem vor, zwar kenne er, weil ihm seinerzeit aufgrund der durch die Arbeitgeberin versp?tet erfolgten Anmeldung einzig ein Reglement 1997 ausgeh?ndigt worden sei (vgl. Urk. 21), das Reglement 1993 nicht; jedoch sei davon auszugehen, dass Art. 15 des Reglements 1989 eine mit Art. 26 Abs. 3 BVG identische Formulierung enthalten habe, die eine lebensl?ngliche Ausrichtung der Invalidenrente garantiere. Aufgrund der unbewiesenen Echtheit des am 16. Mai 2003 eingereichten Reglements m?sse daher zugunsten des Kl?gers davon ausgegangen werden, dass die zutreffenden reglementarischen Bestimmungen eine Besitzstandsgarantie bei Erreichen des Pensionsalters enthielten.</w:t>
      </w:r>
    </w:p>
    <w:p>
      <w:r>
        <w:t>5.5.2?? Entgegen den Vorbringen des Kl?gers bestehen keine vern?nftigen Zweifel an der Echtheit des von der Beklagten am 16. Mai 2003 eingereichten Reglements. Vielmehr w?re der vom Kl?ger behauptete Inhalt des Art. 15 des Reglements 1989 ungew?hnlich, wonach die invalid gewordene Person bei Erreichen des R?cktrittsalters weiterhin eine h?here reglementarische Leistungsprimatsrente beziehen w?rde - dies zudem ganz unabh?ngig von allf?lligen Altersguthabensl?cken dieser Person -, w?hrend die nicht invalid gewordene Person bei Erreichen dieses Alters eine tiefere reglementarische Beitragsprimatsrente erhalten w?rde. Zudem sind die Vorbringen des Kl?gers widerspr?chlich, wenn er einerseits - zufolge der versp?teten Anmeldung glaubhaft - darlegt, vom Reglement 1989 keine Kenntnis zu haben, andererseits aber behauptet, die 'richtige' Fassung von Art. 13 des Reglements 1989 enthalte eine Besitzstandwahrungsregel f?r invalide Versicherte bei Erreichen des R?cktrittsalters. Immerhin ist nicht auszuschliessen, dass der Kl?ger Art. 13 Ziff. 2 Abs. 2 des Reglements 1989 zwar gelesen, darin aber trotz des klaren Wortlauts eine Besitzstandwahrungsregel f?r den ?berobligatorischen anstatt f?r den obligatorischen Teil der Invalidenrente erblickt hat (vg. auch Erw. 2 am Ende). Demnach besteht auch keinerlei Anlass, zugunsten des Kl?gers von Art. 13 des vorliegenden Reglements (1989 und 1997) abzuweichen und ihm eine Altersrente in der H?he der vorangegangenen Leistungsprimatsrente zuzusprechen.</w:t>
      </w:r>
    </w:p>
    <w:p>
      <w:r>
        <w:t>6.?????? Im Sinne der vorstehenden Erw?gungen ist die Klage abzuweisen.</w:t>
      </w:r>
    </w:p>
    <w:p>
      <w:r>
        <w:t>Das Gericht erkennt:</w:t>
      </w:r>
    </w:p>
    <w:p>
      <w:r>
        <w:t>1.???????? Die Klage wird abgewiesen.</w:t>
      </w:r>
    </w:p>
    <w:p>
      <w:r>
        <w:t>2.???????? Das Verfahren ist kostenlos.</w:t>
      </w:r>
    </w:p>
    <w:p>
      <w:r>
        <w:t>3.???????? Zustellung gegen Empfangsschein an:</w:t>
      </w:r>
    </w:p>
    <w:p>
      <w:r>
        <w:t>- Rechtsanwalt Dr. Hermann Eigenbrodt</w:t>
      </w:r>
    </w:p>
    <w:p>
      <w:r>
        <w:t>- D.___ unter Beilage einer Kopie von Urk. 20 und Urk. 21.</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