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BV.2002.00103 vom 20. August 2003</w:t>
      </w:r>
    </w:p>
    <w:p>
      <w:r>
        <w:t>ZH Sozialversicherungsgericht, 2003-08-20, DE</w:t>
      </w:r>
    </w:p>
    <w:p>
      <w:r>
        <w:rPr>
          <w:b/>
        </w:rPr>
        <w:t xml:space="preserve">Quelle: </w:t>
      </w:r>
      <w:r>
        <w:t>https://mcp.opencaselaw.ch/entscheid/zh_sozialversicherungsgericht_BV.2002.00103</w:t>
      </w:r>
    </w:p>
    <w:p>
      <w:r>
        <w:t>FR: ZH_SOZIALVERSICHERUNGSGERICHT BV.2002.00103 du 20 août 2003</w:t>
      </w:r>
    </w:p>
    <w:p>
      <w:r>
        <w:t>IT: ZH_SOZIALVERSICHERUNGSGERICHT BV.2002.00103 del 20 agosto 2003</w:t>
      </w:r>
    </w:p>
    <w:p>
      <w:pPr>
        <w:pStyle w:val="Heading2"/>
      </w:pPr>
      <w:r>
        <w:t>Erwägungen</w:t>
      </w:r>
    </w:p>
    <w:p>
      <w:r>
        <w:rPr>
          <w:b/>
        </w:rPr>
        <w:t>E. 3</w:t>
      </w:r>
    </w:p>
    <w:p>
      <w:r>
        <w:t>3.1????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3.2????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 Innominatsvertr?ge, Festgabe zum 60. Geburtstag von Walter R. Schluep, S. 231 ff.). Innominatsvertr?ge sind Vertr?ge, die gesetzlich nicht besonders geregelt, und auf die daher in erster Linie die Vorschriften des allgemeinen Teils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3.3????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 aus der ersten und zweiten S?ule in der H?he von 60-70 % des letzten Verdienstes der versicherten Person umschrieben (Greber Pierre-Yves, Kommentar zur Art. 34 quater aBV, Rz 84 ff.; Erwin Murer, Wohnen, Arbeit, Soziale Sicherheit und Gesundheit, in Daniel Th?rer/Jean-Francois Aubert/J?rg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angewendet werden.</w:t>
      </w:r>
    </w:p>
    <w:p>
      <w:r>
        <w:t>?</w:t>
      </w:r>
    </w:p>
    <w:p>
      <w:r>
        <w:rPr>
          <w:b/>
        </w:rPr>
        <w:t>E. 4</w:t>
      </w:r>
    </w:p>
    <w:p>
      <w:r>
        <w:t>4.1???? Selbst wenn das besagte Prinzip der angemessenen Fortsetzung der gewohnten Lebenshaltung den ?berobligatorischen Bereich der beruflichen Vorsorge beschlagen sollte, so sprechen materielle Gr?nde gegen eine Ableitung einer Regel ?ber das Verh?ltnis von Invalidenrente und anschliessender Altersrente im Bereich der ?berobligatorischen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w:t>
      </w:r>
    </w:p>
    <w:p>
      <w:r>
        <w:t>4.2????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Hierzu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Eine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Sozialversicherungsgericht wendet sie daher nicht auf die vorliegende Streitsache an.</w:t>
      </w:r>
    </w:p>
    <w:p>
      <w:r>
        <w:rPr>
          <w:b/>
        </w:rPr>
        <w:t>E. 5</w:t>
      </w:r>
    </w:p>
    <w:p>
      <w:r>
        <w:t>5.1???? Demnach bleibt zu pr?fen, ob dem Kl?ger aufgrund des Reglements der Sammelstiftung (Urk. 2/9) ab dem 1. Mai 2002 eine Altersrente in der H?he der ihr vorangegangenen Invalidenrente zusteht.</w:t>
      </w:r>
    </w:p>
    <w:p>
      <w:r>
        <w:t>5.2????</w:t>
      </w:r>
    </w:p>
    <w:p>
      <w:r>
        <w:t>5.2.1?? Nach Art. 15 Ziff. 1 Abs. 1 des Reglements hat eine im Sinne von Art. 5 invalide Person Anspruch auf eine Invalidenrente. Der Anspruch beginnt nach einer Wartefrist von 24 Monaten (Abs. 2). Der Anspruch auf die Invalidenrente erlischt, wenn die Invalidit?t wegf?llt, wenn die versicherte Person stirbt oder das R?cktrittsalter erreicht (Abs. 4). Die j?hrliche Invalidenrente betr?gt laut Art. 15 Ziff. 2 des Reglements bei voller Invalidit?t 40 % des Jahreslohnes, mindestens aber 7,2 % des Endaltersguthabens ohne Zins.</w:t>
      </w:r>
    </w:p>
    <w:p>
      <w:r>
        <w:t>5.2.2?? Gem?ss Art. 13 Ziff. 1 des Reglements hat die versicherte Person (...) Anspruch auf eine lebensl?ngliche Altersrente, wenn sie das R?cktrittsalter (...) erreicht. Die H?he der Altersrente ergibt sich laut Art. 13 Ziff. 2 des Reglements durch Umwandlung des zu Beginn des Anspruchs auf die Altersrente vorhandenen Altersguthabens nach den Bestimmungen von Art. 14 BVG. Der Umwandlungssatz (versicherungstechnischer Wert zuz?glich Erg?nzung aus ?berschussanteilen) betr?gt z.Z. 7,2 % (Abs. 1). War eine versicherte Person unmittelbar vor Erreichen des R?cktrittsalters im Sinne der IV invalid, so gilt, soweit es sich nicht um einen Versicherungsfall gem?ss UVG oder MVG handelt, die folgende Bestimmung: Die sich aufgrund des Altersguthabens gem?ss BVG ergebende Altersrente wird mit der nach BVG unmittelbar vor Erreichen des R?cktrittsalters massgebenden Invalidenrente verglichen. Ist die genannte Altersrente tiefer, so wird der Differenzbetrag zus?tzlich zu der sich nach diesem Reglement ergebenden Altersrente erbracht (Abs. 2).</w:t>
      </w:r>
    </w:p>
    <w:p>
      <w:r>
        <w:t>5.3???? Wie sich dem anwendbaren Reglement ohne weiteres entnehmen l?sst, endet die am Leistungsprimat orientierte Invalidenrente der versicherten Person mit Erreichen des ordentlichen Rentenalters und wird zu diesem Zeitpunkt von einer am Beitragsprimat orientierten Altersrente abgel?st. Hieraus folgt, dass die Beklagte im Falle des Kl?gers auch aufgrund des Reglements grunds?tzlich berechtigt war, die bis zum 30. April 2002 ausgerichtete Invalidenrente von j?hrlich Fr. 27'242.-- durch eine reglementarische Altersrente abzul?sen. Indes macht der Kl?ger geltend, Art. 13 Ziff. 2 Abs. 2 des Reglements k?nne nach dem Vertrauensprinzip nur dahingehend verstanden und m?sse nach der Ungew?hnlichkeitsregel derart ausgelegt werden, dass die H?he der ab Erreichen des R?cktrittsalters auszurichtenden Rente nicht tiefer als jene der vorangegangenen ?berobligatorischen Invalidenrente liegen d?rfe. Er begr?ndet dies insbesondere damit, dass eine Nichtfachperson nicht erkennen k?nne, dass im Reglement zwei unterschiedliche Rentenbegriffe verwendet w?rden.</w:t>
      </w:r>
    </w:p>
    <w:p>
      <w:r>
        <w:rPr>
          <w:b/>
        </w:rPr>
        <w:t>E. 5.4</w:t>
      </w:r>
    </w:p>
    <w:p>
      <w:r>
        <w:t>5.4.1?? Diesen Vorbringen des Kl?gers kann nicht gefolgt werden. Denn einmal ist eine Willenserkl?rung sowie - bei fehlender oder nicht feststellbarer tats?chlicher Willens?bereinstimmung der Parteien - eine vorformulierte Vertragsbedingung gem?ss dem Vertrauensprinzip so auszulegen, wie sie der Adressat verstehen durfte und musste (vgl. Thomas Geiser, Die Auslegung von Stiftungsreglementen, in SZS 2000 S. 97 ff., 111 f.). Vorliegend spricht Art. 13 Ziff. 2 Abs. 2 des Reglements in unzweideutiger Weise vom Vergleich und Verh?ltnis der "sich aufgrund des Altersguthabens gem?ss BVG ergebende[n] Rente mit der nach BVG unmittelbar vor Erreichen des R?cktrittsalters massgebenden Invalidenrente" und enth?lt eine diesbez?gliche Besitzstandgarantie. Anders als der Kl?ger vorbringt, darf als bekannt vorausgesetzt werden, dass in der beruflichen Vorsorge sowohl obligatorische wie ?berobligatorische Leistungen existieren und daher die Begriffe "Renten nach Reglement" und "Renten nach BVG" auseinanderzuhalten sind. Ganz abgesehen davon belegt die seit dem Jahr 1987 zwischen den Parteien gef?hrte Korrespondenz (vgl. Urk. 18/19-27), dass der Kl?ger selbst ?ber gute individuelle Kenntnisse der beruflichen Vorsorge verf?gt.</w:t>
      </w:r>
    </w:p>
    <w:p>
      <w:r>
        <w:t>5.4.2?? Ebensowenig vermag die vom Kl?ger angerufene Ungew?hnlichkeitsregel dessen Begehren zu st?tzen. Denn diese kann im Bereich von Reglementen der beruflichen Vorsorge nicht bedeuten, dass jede von den gesetzlichen Normen abweichende Gestaltung des ausserobligatorischen Bereichs als ungew?hnlich und damit unzul?ssig zu betrachten ist (vgl. Thomas Geiser, a.a.O., S. 113), ansonsten die Vertragsgestaltungsfreiheit nach Art. 49 Abs. 1 BVG ihre Bedeutung verlieren w?rde. Als ungew?hnlich muss vielmehr eine Bestimmung gelten, mit der die global zustimmende Partei vern?nftigerweise nicht rechnen musste und die daher ein ?berraschungsmoment enth?lt, was sich von der Unbilligkeit nicht immer abgrenzen l?sst (vgl. Stephan Fuhrer, Basler Kommentar zu Art. 33 VVG, Basel/Genf/M?nchen 2001, N 59; Hans Michael Riemer, VVG-Auseinandersetzungen und Waffengleichheit, in recht 2001, S. 247; Eva Maria Belser, a.a.O., S. 293 mit Hinweisen auf die Rechtsprechung). Jedoch kann es im Rahmen der beruflichen Vorsorge keineswegs als ungew?hnlich bezeichnet werden, dass bei Erreichen des R?cktrittsalters eine Rente nach dem Leistungsprimat durch eine solche nach dem Beitragsprimat abgel?st wird. Im Gegenteil m?sste als unbillig erscheinen, wenn, wie vom Kl?ger gefordert, die invalid gewordene Person bei Erreichen des R?cktrittsalters weiterhin eine h?here reglementarische Leistungsprimatsrente bezieht, w?hrend die nicht invalid gewordene Person bei Erreichen dieses Alters eine tiefere reglementarische Beitragsprimatsrente erh?lt. Daher verletzte die Beklagte auch nicht allf?llige vorvertragliche Informationspflichten, wenn sie den Kl?ger ?ber die Gleichbehandlung mit den nicht invalid gewordenen Versicherten bei Erreichen des R?cktrittsalters nicht in einer ?ber die Abgabe der Statuten hinaus gehenden Form aufmerksam machte.</w:t>
      </w:r>
    </w:p>
    <w:p>
      <w:r>
        <w:t>6.?????? Im Sinne der vorstehenden Erw?gungen kann die dem Kl?ger ab dem 1. Mai 2002 ausgerichtete Rente masslich nicht beanstandet werden, weshalb die Klage abzuweisen ist.</w:t>
      </w:r>
    </w:p>
    <w:p>
      <w:r>
        <w:t>Das Gericht erkennt:</w:t>
      </w:r>
    </w:p>
    <w:p>
      <w:r>
        <w:t>1.???????? Die Klage wird abgewiesen.</w:t>
      </w:r>
    </w:p>
    <w:p>
      <w:r>
        <w:t>2.???????? Das Verfahren ist kostenlos.</w:t>
      </w:r>
    </w:p>
    <w:p>
      <w:r>
        <w:t>3.???????? Zustellung gegen Empfangsschein an:</w:t>
      </w:r>
    </w:p>
    <w:p>
      <w:r>
        <w:t>- Rechtsanwalt Dr. Kurt Meier</w:t>
      </w:r>
    </w:p>
    <w:p>
      <w:r>
        <w:t>- B.___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