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BV.2002.00082 vom 10. März 2004</w:t>
      </w:r>
    </w:p>
    <w:p>
      <w:r>
        <w:t>ZH Sozialversicherungsgericht, 2004-03-10, DE</w:t>
      </w:r>
    </w:p>
    <w:p>
      <w:r>
        <w:rPr>
          <w:b/>
        </w:rPr>
        <w:t xml:space="preserve">Quelle: </w:t>
      </w:r>
      <w:r>
        <w:t>https://mcp.opencaselaw.ch/entscheid/zh_sozialversicherungsgericht_BV.2002.00082</w:t>
      </w:r>
    </w:p>
    <w:p>
      <w:r>
        <w:t>FR: ZH_SOZIALVERSICHERUNGSGERICHT BV.2002.00082 du 10 mars 2004</w:t>
      </w:r>
    </w:p>
    <w:p>
      <w:r>
        <w:t>IT: ZH_SOZIALVERSICHERUNGSGERICHT BV.2002.00082 del 10 marzo 2004</w:t>
      </w:r>
    </w:p>
    <w:p>
      <w:pPr>
        <w:pStyle w:val="Heading2"/>
      </w:pPr>
      <w:r>
        <w:t>Erwägungen</w:t>
      </w:r>
    </w:p>
    <w:p>
      <w:r>
        <w:rPr>
          <w:b/>
        </w:rPr>
        <w:t>E. 1</w:t>
      </w:r>
    </w:p>
    <w:p>
      <w:r>
        <w:t>1.1Â Â Â Â  In formeller Hinsicht ist zunÃ¤chst die Passivlegitimation der Beklagten 2 zu klÃ¤ren. Diese verneint ihre Passivlegitimation mit der BegrÃ¼ndung, dass nicht sie, sondern die Beklagte 1 die Austrittsleistung schulde, weshalb die KlÃ¤ger ihr gegenÃ¼ber kein Rechtsschutzinteresse hÃ¤tten (Urk. 6 S. 4 Ziff. 7).</w:t>
      </w:r>
    </w:p>
    <w:p>
      <w:r>
        <w:t>1.2Â Â Â Â  Im Verfahren der ursprÃ¼nglichen Verwaltungsrechtspflege gemÃ¤ss Art. 73 Abs. 1 des Bundesgesetzes Ã¼ber die berufliche Alters-, Hinterlassenen- und Invalidenvorsorge (BVG) bildet Sachurteilsvoraussetzung, dass die klagende Partei an dem von ihr gestellten Rechtsbegehren ein schutzwÃ¼rdiges Interesse rechtlicher oder tatsÃ¤chlicher Natur (Rechtsschutzinteresse) hat (BGE 128 V 48 Erw. 3a mit Hinweisen). Nach Art. 2 Abs. 1 des Bundesgesetzes Ã¼ber die FreizÃ¼gigkeit in der beruflichen Alters-, Hinterlassenen- und Invalidenvorsorge (FZG) haben Versicherte, welche die Vorsorgeeinrichtung verlassen, bevor ein Vorsorgefall eintritt (FreizÃ¼gigkeitsfall), Anspruch auf eine Austrittsleistung. Treten sie in eine neue Vorsorgeeinrichtung ein, so hat die frÃ¼here Vorsorgeeinrichtung die Austrittsleistung an die neue zu Ã¼berweisen (Art. 3 Abs. 1 FZG). Den Wechsel der Vorsorgeeinrichtung durch den Arbeitgeber, regelt das BVG nicht. Nach der Rechtsprechung handelt es sich dabei um einen "untypischen" FreizÃ¼gigkeitsfall, welchen Tatbestand Art. 23 Abs. 4 lit. c FZG "vermutungsweise" als Teilliquidationsfall bezeichnet (vgl. BGE 125 V 423 Erw. 4).</w:t>
      </w:r>
    </w:p>
    <w:p>
      <w:r>
        <w:t>1.3Â Â Â Â  Es trifft wohl zu, dass bei einem Streit um die Austrittsleistung eine frÃ¼here Vorsorgeeinrichtung in der Regel nicht passivlegitimiert ist, da eine Austrittsleistung im Sinne von Art. 2 FZG nur von derjenigen Vorsorgeeinrichtung geschuldet ist, der die versicherte Person im Zeitpunkt des FreizÃ¼gigkeitsfalles angehÃ¶rte. Im vorliegend zu beurteilenden Fall verhÃ¤lt es sich indessen anders. Die KlÃ¤ger machen geltend, die von der Beklagten 2 an die Beklagte 1 Ã¼berwiesenen BetrÃ¤ge, d.h. die Austrittsleistungen, seien zu tief gewesen. Damit kann die eingeklagte FreizÃ¼gigkeitsleistung nicht unabhÃ¤ngig von den Pflichten der Beklagten 2 beurteilt werden, weshalb auf die Klage gegen die Beklagte 2 einzutreten ist.</w:t>
      </w:r>
    </w:p>
    <w:p>
      <w:r>
        <w:rPr>
          <w:b/>
        </w:rPr>
        <w:t>E. 2</w:t>
      </w:r>
    </w:p>
    <w:p>
      <w:r>
        <w:t>2.1Â Â Â Â  Streitgegenstand des vorliegenden Verfahrens bildet einzig die Frage, ob die bis Ende 2000 von der Beigeladenen an die KlÃ¤ger geleisteten Erfolgsbeteiligungen beziehungsweise Bonus-Zahlungen vorsorgerechtlich zum versicherten Verdienst gehÃ¶ren (vgl. Rechtsbegehren, Urk. 1).</w:t>
      </w:r>
    </w:p>
    <w:p>
      <w:r>
        <w:t>2.2Â Â Â Â  Bei der Beigeladenen war seit dem GeschÃ¤ftsjahr 1989 ein "Reglement Ã¼ber die Erfolgsbeteiligung" in Kraft (Urk. 2/6). Dieses sah - von hier nicht interessierenden Ausnahmen abgesehen - fÃ¼r alle Angestellten einen Anspruch auf Auszahlung eines bestimmten Anteils am Gewinn vor. Der entsprechende Betrag wurde proportional zum Bruttojahreslohn der einzelnen Angestellten verteilt. Mit dem GeschÃ¤ftsjahr 1999/2000 wurde die Erfolgsbeteiligung durch eine Bonusregelung abgelÃ¶st (Urk. 2/7). Danach besteht die EntlÃ¶hnung der Mitarbeitenden aus einem Fixgehalt und einem variablen Einkommensteil (Bonus), welcher abhÃ¤ngig ist vom Erreichen vereinbarter Ziele.</w:t>
      </w:r>
    </w:p>
    <w:p>
      <w:r>
        <w:t>2.3Â Â Â Â  Unbestritten ist, dass die KlÃ¤ger wÃ¤hrend ihrer Anstellungszeit bei der Beigeladenen gestÃ¼tzt auf die vorerwÃ¤hnten Regelungen jedes Jahr einen Bonus von unterschiedlicher HÃ¶he ausbezahlt erhielten, welcher der Beklagten 2 nicht als versicherter Verdienst gemeldet wurde (vgl. Urk. 1 S. 10). Ebenfalls unbestritten ist, dass die gesamten LohnbezÃ¼ge der KlÃ¤ger (Fixlohn plus Bonus) weit Ã¼ber dem obligatorischen Bereich der beruflichen Vorsorge lagen, weshalb die Bonus-Zahlungen nicht ohne weiteres unter die Beitragspflicht fallen, wie dies nach den Mitteilungen Ã¼ber die berufliche Vorsorge Nr. 58 Ziff. 357 des Bundesamtes fÃ¼r Sozialversicherung (BSV) fÃ¼r den obligatorischen Bereich der Fall ist (Urk. 19/16). Nicht gefolgt werden kann der Beigeladenen, wenn sie aus besagter Mitteilung des BSV e contrario folgert, dass individuelle, leistungsbezogene Zahlungen (wie die hier in Frage stehenden Erfolgsbeteiligungen und Boni) im Ã¼berobligatorischen Bereich unter "gelegentlich anfallende Lohnbestandteile" fallen und gemÃ¤ss Art. 3 Abs. 1 lit. a der Verordnung Ã¼ber die berufliche Alters-, Hinterlassenen- und Invalidenvorsorge (BVV 2) vom massgebenden AHV-Lohn ausgenommen werden dÃ¼rfen (Urk. 18 S. 10 Ziff. 23). Der Wortlaut der BSV-Mitteilung lÃ¤sst einen solchen Schluss nicht zu. Dort heisst es lediglich, im Ã¼berobligatorischen Bereich habe die Vorsorgeeinrichtung die MÃ¶glichkeit, in ihrem Reglement den Bonus vom versicherten Verdienst ganz oder nur zum Teil auszunehmen. Damit ist Ã¼ber die Formulierung einer derartigen reglementarischen Regelung nichts gesagt, schon gar nicht, dass Boni im Ã¼berobligatorischen Bereich einem "gelegentlich anfallenden Lohnbestandteil" gleichzusetzen wÃ¤ren.</w:t>
      </w:r>
    </w:p>
    <w:p>
      <w:r>
        <w:t>2.4Â Â Â Â  Die Statuten der Beklagten 2 (Urk. 2/5) definieren in Art. 3.4 den Jahreslohn wie folgt: "Der Jahreslohn entspricht grundsÃ¤tzlich dem voraussichtlichen AHV-beitragspflichtigen Jahreslohn beim Eintritt bzw. am 1. Januar. Lohnbestandteile, die nur gelegentlich anfallen, werden nicht angerechnet". Der letzte Satz dieser Regelung gibt somit die obligatorische Bestimmung des Art. 3 Abs. 1 lit. a BVV 2 wieder. Wie diese im Ã¼berobligatorischen Bereich auszulegen ist, ist nachfolgend zu prÃ¼fen.</w:t>
      </w:r>
    </w:p>
    <w:p>
      <w:r>
        <w:rPr>
          <w:b/>
        </w:rPr>
        <w:t>E. 3</w:t>
      </w:r>
    </w:p>
    <w:p>
      <w:r>
        <w:t>3.1Â Â Â Â  Die Auslegung des Reglements als vorformulierter Inhalt des Vorsorgevertrages geschieht nach dem Vertrauensprinzip. Dabei sind jedoch die allgemeinen Bedingungen innewohnenden Besonderheiten zu beachten, namentlich die so genannten Unklarheits- und UngewÃ¶hnlichkeitsregeln. Nach diesen AuslegungsgrundsÃ¤tzen gilt es ausgehend vom Wortlaut und unter BerÃ¼cksichtigung des Zusammenhangs, in dem eine streitige Bestimmung innerhalb des Reglements als Ganzes steht, den objektiven Vertragswillen zu ermitteln, den die Parteien mutmasslich gehabt haben. Dabei hat das Gericht zu berÃ¼cksichtigen, was sachgerecht ist, weil nicht angenommen werden kann, dass die Parteien eine unvernÃ¼nftige LÃ¶sung gewollt haben. Sodann sind nach konstanter Rechtsprechung mehrdeutige Wendungen in vorformulierten Vertragsbedingungen im Zweifel zu Lasten ihres Verfassers auszulegen (BGE 122 V 146 Erw. 4c mit Hinweisen).</w:t>
      </w:r>
    </w:p>
    <w:p>
      <w:r>
        <w:t>3.2Â Â Â Â  Zu prÃ¼fen ist zunÃ¤chst, ob die fraglichen VergÃ¼tungen als Lohnbestandteil im Sinne von Art. 322 des Schweizerischen Obligationenrechts (OR), der nach Art. 322a OR auch variabel ausgestaltet sein kann, oder als Gratifikation im Sinne von Art. 322d OR zu qualifizieren sind (vgl. dazu BGE 129 III 279 Erw. 2). Die Beigeladene macht unter Berufung auf ZR 2002 Nr. 63 vorab geltend, der Bonus stelle eine Gratifikation dar, auf welche die Mitarbeiter aufgrund des Freiwilligkeitscharakters keinen Rechtsanspruch auf Auszahlung hÃ¤ttenÂ  (Urk. 18 S. 12 Ziff. 28).</w:t>
      </w:r>
    </w:p>
    <w:p>
      <w:r>
        <w:t>Nach der bundesgerichtlichen Rechtsprechung hÃ¤ngt die Qualifikation einer derartigen VergÃ¼tung davon ab, ob die Parteien diese fÃ¼r den Fall vereinbart haben, dass bestimmte Ziele erreicht werden. Ist dies zu bejahen, handelt es sich um Lohn und die VergÃ¼tung kann nicht mehr verweigert werden, wenn die Ziele tatsÃ¤chlich erreicht worden sind (Urteil des Schweizerischen Bundesgerichts in Sachen A. vom 24. April 2003, 4C.6/2003, Erw. 2.2). So verhÃ¤lt es sich hier. Sowohl das Reglement Ã¼ber die Erfolgsbeteiligung (Urk. 2/6) wie das Bonusreglement (Urk. 2/7) geben den Mitarbeitern unter den reglementarisch formulierten Voraussetzungen (Gewinnerzielung bzw. Zielerreichung) einen Anspruch auf die entsprechende VergÃ¼tung. Der in beiden Reglementen enthaltene Vorbehalt der Freiwilligkeit kann sich nur auf die Bonusregelung als Ganzes, nicht aber die Auszahlung an sich beziehen. Wenn und solange das Reglement in Kraft ist, besteht der Anspruch. In diesem Sinn handelt es sich hier um eine VergÃ¼tung, welche - im Gegensatz zu dem in ZR 2002 Nr. 63 behandelten Fall - in Bezug auf die HÃ¶he wie die Zahlung gerade nicht in das Ermessen der Beigeladenen gestellt war und deshalb als Lohnbestandteil zu qualifizieren ist.</w:t>
      </w:r>
    </w:p>
    <w:p>
      <w:r>
        <w:t>3.3Â Â Â Â  Weiter stellt sich die Frage, ob die fraglichen Zahlungen als "gelegentlich" im Sinne der Statuten der Beklagten 2 zu qualifizieren sind. "Gelegentlich" bedeutet etwa "hie und da", "nicht regelmÃ¤ssig", "bei Gelegenheit" und beeinhaltet somit eine gewisse ZufÃ¤lligkeit. Gerade diese Inhalte treffen auf das Erfolgsbeteiligungs- bzw. Bonusreglement der Beklagten 2 nicht zu. Wie bereits erwÃ¤hnt, besteht unter klar definierter Voraussetzung ein Anspruch auf die Zahlung. Sie ist zwar in der HÃ¶he variabel (und kann bei Verlusten auch ausfallen), das Ã¤ndert aber nichts daran, dass sie entsprechend dem GeschÃ¤ftsgang und dem Zielerreichungsgrad jÃ¤hrlich anfÃ¤llt. Hinzu kommt, dass das BSV in seinen Mitteilungen Nr. 58 (vgl. Erw. 2.3) fÃ¼r den obligatorischen Bereich entschieden hat, dass individuelle LeistungsprÃ¤mien grundsÃ¤tzlich nicht unter "gelegentlich anfallende Lohnbestandteile" fallen und deshalb auch nicht auf reglementarischer Grundlage vom massgebenden Lohn ausgenommen werden dÃ¼rfen. Die Beklagte 2 verwendet nun denselben Begriff im Ã¼berobligatorischen Bereich. Der Grundsatz, dass Begriffe im obligatorischen und Ã¼berobligatorischen Bereich der beruflichen Vorsorge einheitlich auszulegen sind, verbietet die Interpretation, im Ã¼berobligatorischen Bereich unter "gelegentlich anfallenden Lohnbestandteilen" auch leistungs- und erfolgsabhÃ¤ngige Zahlungen zu verstehen.</w:t>
      </w:r>
    </w:p>
    <w:p>
      <w:r>
        <w:t>Â Â Â Â Â Â Â Â  Im Weiteren ist darauf hinzuweisen, dass eine auf Art. 3 Abs. 1 lit. a BVV 2 gestÃ¼tzte Ausnahmeregelung im Reglement einer Vorsorgeeinrichtung einer konkret formulierten Bestimmung bedarf, in welcher die nicht in den versicherten Verdienst einzubeziehenden Lohnbestandteile aufgefÃ¼hrt sind (Urteil des EidgenÃ¶ssischen Versicherungsgerichts in Sachen B. vom 30. April 2002, B 58/00). Die Statuten der Beklagten 2 enthalten keine derartige Regelung, weshalb es bei der Auslegung des abstrakt gehaltenen Art. 3.4 der Statuten bleiben muss, welche - wie vorstehend ausgefÃ¼hrt - keine Subsumption der fraglichen Bonus-Zahlungen unter den Begriff "gelegentlich anfallende Lohnbestandteile" zulÃ¤sst.</w:t>
      </w:r>
    </w:p>
    <w:p>
      <w:r>
        <w:rPr>
          <w:b/>
        </w:rPr>
        <w:t>E. 4</w:t>
      </w:r>
    </w:p>
    <w:p>
      <w:r>
        <w:t>4.1Â Â Â Â  Die Beklagte 2 und die Beigeladene machen geltend, das Verhalten der KlÃ¤ger sei rechtsmissbrÃ¤uchlich. Sowohl der KlÃ¤ger wie die KlÃ¤gerin hÃ¤tten als Juristen und Vorsorgespezialisten Kenntnis davon gehabt, dass die Bonus-ZahlungenÂ  systembedingt (Leistungsprimat) vorsorgerechtlich nicht versichert waren.Â  WÃ¤ren sie der Auffassung gewesen, es handle sich um eine widerrechtliche Anwendung der statutarischen Bestimmungen, hÃ¤tten sie dies wÃ¤hrend ihrer Anstellungszeit rÃ¼gen mÃ¼ssen. Sie hÃ¤tten aber die Abrechnungen der Beklagten 2 stets widerspruchslos hingenommen und auch gegen die von der Beklagen 1 im Jahr 2001 ausgerichteten FreizÃ¼gigkeitsleistung keine Vorbehalte angemeldet (Urk. 6 S. 5; Urk. 18 S. 16). Die KlÃ¤ger ihrerseits berufen sich auf ein seit Jahren angespanntes ArbeitsverhÃ¤ltnis, welches eine weitergehende Thematisierung der strittigen Bonus-Frage ohne Inkaufnahme von Nachteilen bis hin zu einer mÃ¶glichen KÃ¼ndigung nicht erlaubt habe (Urk. 23 S. 18 f.).</w:t>
      </w:r>
    </w:p>
    <w:p>
      <w:r>
        <w:rPr>
          <w:b/>
        </w:rPr>
        <w:t>E. 4.2</w:t>
      </w:r>
    </w:p>
    <w:p>
      <w:r>
        <w:t>4.2.1Â Â  Das Begehren der KlÃ¤ger um eine Neuberechnung der Austrittsleistung unter Einbezug der Bonus-Zahlungen unterliegt einer zehnjÃ¤hrigen VerjÃ¤hrungsfrist (Art. 41 BVG). Langes Zuwarten mit der Geltendmachung eines Anspruchs als solches erscheint erst rechtsmissbrÃ¤uchlich, wenn weitere UmstÃ¤nde hinzutreten, die das Zuwarten als Verstoss gegen Treu und Glauben erscheinen lassen (BGE 116 II 431 Erw. 2).</w:t>
      </w:r>
    </w:p>
    <w:p>
      <w:r>
        <w:t>Â Â Â Â Â Â Â Â  Art. 2 Abs. 2 des Schweizerischen Zivilgesetzbuches (ZGB) sanktioniert Handlungen, die zwar im Einklang mit der entsprechenden gesetzlichen Norm oder einer privatautonomen Vertragsbestimmung stehen, aber objektiv eine Verletzung des Redlichkeitsstandards von Treu und Glauben darstellen und damit das Vertrauen der Rechtsgenossen auf redliches und sachangemessenes Verhalten enttÃ¤uschen. Als Fallgruppe des Rechtsmissbrauchs erfasst Art. 2 Abs. 2 ZGB auch das widersprÃ¼chliche Verhalten (venire contra factum proprium). Nach bundesgerichtlicher Rechtsprechung gibt es allerdings keinen Grundsatz der Gebundenheit an das eigene Handeln. Setzt sich jemand zu seinem frÃ¼heren Verhalten in Widerspruch, ist darin nur dann ein Verstoss gegen Treu und Glauben zu erblicken, wenn das frÃ¼here Verhalten ein schutzwÃ¼rdiges Vertrauen begrÃ¼ndet hat, welches durch die neuen Handlungen enttÃ¤uscht wÃ¼rde. Der Vertrauende muss aufgrund des geschaffenen Vertrauens Dispositionen getroffen haben, die sich nun als nachteilig erweisen (BGE 125 III 259 Erw. 2a mit Hinweisen).</w:t>
      </w:r>
    </w:p>
    <w:p>
      <w:r>
        <w:t>4.2.2Â Â  Die Beigeladene beruft sich auf ebendiese GrundsÃ¤tze und fÃ¼hrt im Wesentlichen aus, insbesondere die vorbehaltlose Einlassung der KlÃ¤ger im Zusammenhang mit dem neuen Vorsorgesystem habe sie (die Beigeladene) im Glauben gelassen, dass mit der AblÃ¶sung des alten Systems allfÃ¤llige MÃ¤ngel bzw. darauf basierende individuelle AnsprÃ¼che beseitigt wÃ¤ren. Mit dem ZurÃ¼ckkommen auf AnsprÃ¼che aus dem alten System wÃ¼rden sich die KlÃ¤ger zu ihrem damaligen Verhalten in Widerspruch setzen, was keinen Rechtsschutz verdiene (Urk. 32 S. 8).</w:t>
      </w:r>
    </w:p>
    <w:p>
      <w:r>
        <w:t>Nicht von der Hand zu weisen ist das Argument der Beigeladenen, der von den KlÃ¤gern erhobene vorsorgerechtliche Anspruch sei im Zusammenhang mit der firmen- und markenrechtlichen Auseinandersetzung nach Beendigung des ArbeitsverhÃ¤ltnisses zu sehen (Urk. 18 S. 4 Ziff. 9; vgl. auch Urk. 19/4 und Urk. 24). In der Tat ist eine derartige VerknÃ¼pfung aktenmÃ¤ssig ausgewiesen, boten doch die KlÃ¤ger der Beigeladenen an, auf die strittigen vorsorgerechtlichen AnsprÃ¼che zu verzichten, wenn die Beigeladene im Gegenzug ihre markenrechtlichen Forderungen nicht weiter verfolgen werde (Urk. 19/6 am Schluss). Ob sie ohne die markenrechtliche Auseinandersetzung mit ihrer ehemaligen Arbeitgeberin die vorsorgerechtlichen AnsprÃ¼che geltend gemacht hÃ¤tten, kann offen bleiben und braucht im Rahmen der MissbrauchsprÃ¼fung auch nicht gewertet zu werden. Sicher waren sich die KlÃ¤ger der Problematik der vorsorgerechtlichen Behandlung der Bonus-Zahlungen wÃ¤hrend ihrer Anstellungszeit bei der Beigeladenen bewusst (vgl. etwa Urk. 1 S. 7; Urk. 23 S. 8) und offenbar auch an der Erarbeitung der neuen LÃ¶sung mit der Beklagten 1 beteiligt (vgl. Urk. 19/11). Dass dieses Thema innerhalb der Firma diskutiert wurde, bestreitet auch die Beigeladene nicht (Urk. 18 S. 15 unten). Diese behauptet nun, wenn sie hÃ¤tte damit rechnen mÃ¼ssen, von den KlÃ¤gern wegen der umstrittenen vorsorgerechtlichen Behandlung der Bonus-Zahlungen belangt zu werden, hÃ¤tte sie Massnahmen treffen kÃ¶nnen, welche sie heute nicht mehr vornehmen kÃ¶nne (Urk. 32 S. 8). Abgesehen davon, dass die Beigeladene nicht ausfÃ¼hrt, um welche konkreten Massnahmen es sich gehandelt hÃ¤tte, steht fest, dass das Verhalten der KlÃ¤ger seitens der Beigeladenen eben gerade keine nicht mehr rÃ¼ckgÃ¤ngig zu machende Dispositionen erforderte und das bisherige Bonus-System bis Ende 2000 ohne Ãnderungen weitergefÃ¼hrt werden konnte. Durch das Zuwarten mit der Durchsetzung des Anspruchs auf Einbezug der Bonus-Zahlungen hat sich die Position der Beigeladenen bzw. der Beklagten 2 als damaliger Vorsorgeeinrichtung nicht wesentlich verschlechtert. Wenn sie heute die damals nicht in den versicherten Verdienst einbezogenen VergÃ¼tungen nachtrÃ¤glich berÃ¼cksichtigen mÃ¼ssen, stellen sich wegen des Leistungsprimats grundsÃ¤tzlich noch dieselben Umsetzungsprobleme. Nur weil durch den inzwischen vorgenommenen Wechsel der Vorsorgeeinrichtung die Nachzahlungen mÃ¶glicherweise aufwendigere Berechnungen erfordern, kann den KlÃ¤gern keine Treuwidrigkeit vorgeworfen werden. Bei dieser Sachlage ist ein rechtsmissbrÃ¤uchliches Verhalten der KlÃ¤ger nicht erstellt.</w:t>
      </w:r>
    </w:p>
    <w:p>
      <w:r>
        <w:t>5.Â Â Â Â Â Â  Im vorliegenden Streitfall geht es um die vorsorgerechtliche Behandlung von VergÃ¼tungen, welche wÃ¤hrend der Versicherungszeit der KlÃ¤ger bei der Beklagten 2 ausgerichtet wurden. Demnach hat die Beklagte 2 ihre an die Beklagte 1 Ã¼berwiesene Austrittsleistung unter BerÃ¼cksichtigung der fraglichen Bonus-Zahlungen neu zu berechnen und die Differenz samt Zinsen direkt an den heute zustÃ¤ndigen VorsorgetrÃ¤ger zu Ã¼berweisen.</w:t>
      </w:r>
    </w:p>
    <w:p>
      <w:r>
        <w:t>Â Â Â Â Â Â Â Â  Die Beklagte 1 ist nicht in diesen Vorgang einzubeziehen. Analog Art. 6 FZG ist der von der Beklagten 2 geschuldete Differenzbetrag bei der Beklagten 1 als nicht eingebrachte Eintrittsleistung zu betrachten. Diese kann die Beklagte 1 samt Zinsen von ihrer Austrittsleistung abziehen. SinngemÃ¤ss hat sie dies mit der ihrerseits korrekten, aber auf der zu tiefen Austrittsleistung der Beklagten 2 beruhenden Austrittsabrechnung getan (Urk. 1 S. 12; vgl. auch Urk. 2/12-13). Die Klage gegen die Beklage 1 auf Ausrichtung einer hÃ¶heren FreizÃ¼gigkeitsleistung ist damit unbegrÃ¼ndet und abzuweisen.</w:t>
      </w:r>
    </w:p>
    <w:p>
      <w:r>
        <w:rPr>
          <w:b/>
        </w:rPr>
        <w:t>E. 6</w:t>
      </w:r>
    </w:p>
    <w:p>
      <w:r>
        <w:t>6.1Â Â Â Â  Nach Â§ 34 Abs. 1 des Gesetzes Ã¼ber das Sozialversicherungsgericht (GSVGer) haben die Parteien auf Antrag nach Massgabe ihres Obsiegens Anspruch auf den vom Gericht festzusetzenden Ersatz der Parteikosten. Dieser wird ohne RÃ¼cksicht auf den Streitwert nach der Bedeutung der Streitsache und nach dem Schwierigkeitsgrad des Prozesses bemessen. Den VersicherungstrÃ¤gern und den Gemeinwesen steht der Anspruch auf Ersatz der Parteikosten in der Regel nicht zu (Â§ 34 Abs. 2 GSVGer).</w:t>
      </w:r>
    </w:p>
    <w:p>
      <w:r>
        <w:t>Der Bedeutung der Streitsache, der Schwierigkeit des Prozesses und dem diesen UmstÃ¤nden adÃ¤quaten Aufwand entsprechend ist die EntschÃ¤digung auf Fr. 3'100.-- (inkl. Barauslagen und MWSt) festzusetzen.</w:t>
      </w:r>
    </w:p>
    <w:p>
      <w:r>
        <w:t>6.2Â Â Â Â  Im Verfahren der Verwaltungsgerichtsbeschwerde darf obsiegenden BehÃ¶rden oder mit Ã¶ffentlichrechtlichen Aufgaben betrauten Organisationen in der Regel keine ParteientschÃ¤digung zugesprochen werden. In Anwendung dieser Bestimmung hat das EidgenÃ¶ssische Versicherungsgericht der SUVA und den privaten UVG-Versicherern sowie - von SonderfÃ¤llen abgesehen - den Krankenkassen keine ParteientschÃ¤digungen zugesprochen, weil sie als Organisationen mit Ã¶ffentlichrechtlichen Aufgaben zu qualifizieren sind (BGE 112 V 361 Erw. 6 mit Hinweisen). Das hat grundsÃ¤tzlich auch fÃ¼r die TrÃ¤gerinnen oder Versicherer der beruflichen Vorsorge gemÃ¤ss BVG zu gelten (BGE 128 V 133 Erw. 5b, 126 V 150 Erw. 4a, 118 V 169 Erw. 7, 117 V 349 Erw. 8 mit Hinweis). Der Beklagten 1 steht somit keine ProzessentschÃ¤digung zu.</w:t>
      </w:r>
    </w:p>
    <w:p>
      <w:r>
        <w:t>Das Gericht erkennt:</w:t>
      </w:r>
    </w:p>
    <w:p>
      <w:r>
        <w:t>1.Â Â Â Â Â Â Â Â  Die Klage gegen die Beklagte 1 wird abgewiesen.</w:t>
      </w:r>
    </w:p>
    <w:p>
      <w:r>
        <w:t>2.Â Â Â Â Â Â Â Â  Die Klage gegen die Beklagte 2 wird in dem Sinne gutgeheissen, dass diese verpflichtet wird, eine Austrittsleistung unter Einbezug der von der Beigeladenen bis Ende 2000 an die KlÃ¤gerin und den KlÃ¤ger ausgerichteten Erfolgsbeteiligungs- und Bonus-Zahlungen auszurichten.</w:t>
      </w:r>
    </w:p>
    <w:p>
      <w:r>
        <w:t>3.Â Â Â Â Â Â Â Â  Das Verfahren ist kostenlos.</w:t>
      </w:r>
    </w:p>
    <w:p>
      <w:r>
        <w:t>4.Â Â Â Â Â Â Â Â  Die Beklagte 2 wird verpflichtet, den KlÃ¤gern eine ProzessentschÃ¤digung von Fr. 3'100.-- (inkl. Barauslagen und MWSt) zu bezahlen.</w:t>
      </w:r>
    </w:p>
    <w:p>
      <w:r>
        <w:t>5.Â Â Â Â Â Â Â Â  Der Beklagten 1 wird keine ProzessentschÃ¤digung zugesprochen.</w:t>
      </w:r>
    </w:p>
    <w:p>
      <w:r>
        <w:t>6.Â Â Â Â Â Â Â Â  Zustellung gegen Empfangsschein an:</w:t>
      </w:r>
    </w:p>
    <w:p>
      <w:r>
        <w:t>- Rechtsanwalt Dr. Hans-Ulrich Stauffer</w:t>
      </w:r>
    </w:p>
    <w:p>
      <w:r>
        <w:t>- Servisa Sammelstiftung der Kantonalbanken</w:t>
      </w:r>
    </w:p>
    <w:p>
      <w:r>
        <w:t>- FÃ¼rsprech und Notar Dr. Petra Flury-Schmitt</w:t>
      </w:r>
    </w:p>
    <w:p>
      <w:r>
        <w:t>- RechtsanwÃ¤ltin Gitti Hug</w:t>
      </w:r>
    </w:p>
    <w:p>
      <w:r>
        <w:t>- Bundesamt fÃ¼r Sozialversicherung</w:t>
      </w:r>
    </w:p>
    <w:p>
      <w:r>
        <w:t>7.Â Â Â Â Â Â Â Â  Gegen diesen Entscheid kann innert 30 Tagen seit der Zustellung beim EidgenÃ¶ssischen Versicherungsgericht Verwaltungsgerichtsbeschwerde eingereicht werden.</w:t>
      </w:r>
    </w:p>
    <w:p>
      <w:r>
        <w:t>Die Beschwerdeschrift ist dem EidgenÃ¶ssischen Versicherungsgericht, Schweizerhofquai 6, 6004 Luzern, in dreifacher Ausfertigung zuzustellen.</w:t>
      </w:r>
    </w:p>
    <w:p>
      <w:r>
        <w:t>Die Beschwerdeschrift hat die Begehren, deren BegrÃ¼ndung mit Angabe der Beweismittel und die Unterschrift der beschwerdefÃ¼hrenden Person oder ihres Vertreters zu enthalten; die Ausfertigung des angefochtenen Entscheides und der dazugehÃ¶rige Briefumschlag sowie die als Beweismittel angerufenen Urkunden sind beizulegen, soweit die beschwerdefÃ¼hrende Person sie in HÃ¤nden hat (Art. 132 in Verbindung mit Art. 106 und 108 OG).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