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BV.2002.00016 vom 21. Januar 2004</w:t>
      </w:r>
    </w:p>
    <w:p>
      <w:r>
        <w:t>ZH Sozialversicherungsgericht, 2004-01-21, DE</w:t>
      </w:r>
    </w:p>
    <w:p>
      <w:r>
        <w:rPr>
          <w:b/>
        </w:rPr>
        <w:t xml:space="preserve">Quelle: </w:t>
      </w:r>
      <w:r>
        <w:t>https://mcp.opencaselaw.ch/entscheid/zh_sozialversicherungsgericht_BV.2002.00016</w:t>
      </w:r>
    </w:p>
    <w:p>
      <w:r>
        <w:t>FR: ZH_SOZIALVERSICHERUNGSGERICHT BV.2002.00016 du 21 janvier 2004</w:t>
      </w:r>
    </w:p>
    <w:p>
      <w:r>
        <w:t>IT: ZH_SOZIALVERSICHERUNGSGERICHT BV.2002.00016 del 21 gennaio 2004</w:t>
      </w:r>
    </w:p>
    <w:p>
      <w:pPr>
        <w:pStyle w:val="Heading2"/>
      </w:pPr>
      <w:r>
        <w:t>Erwägungen</w:t>
      </w:r>
    </w:p>
    <w:p>
      <w:r>
        <w:rPr>
          <w:b/>
        </w:rPr>
        <w:t>E. 2</w:t>
      </w:r>
    </w:p>
    <w:p>
      <w:r>
        <w:t>Nachdem sich die Stiftung der Forderung der Witwe um Auszahlung des Todesfallkapitals an sie selbst widersetzt und dasselbe entsprechend dem Ãnderungsgesuch an die Lebenspartnerin des Verstorbenen ausbezahlt hatte (vgl. Urk. 2/6 und Urk. 2/40-45), liess S.___ am 11. Februar 2002 Klage gegen die Stiftung einreichen mit dem Rechtsbegehren, die Beklagte sei zu verurteilen, der KlÃ¤gerin das geschuldete Todesfallkapital von Fr. 154'543.-- zuzÃ¼glich Verzugszins von 5 % seit 15. MÃ¤rz 2001 zu bezahlen, unter Kosten- und EntschÃ¤digungsfolge (Urk. 1). Mit Klageantwort vom 7. Juni 2002 beantragte die Stiftung Abweisung der Klage, unter Kosten- und EntschÃ¤digungsfolge (Urk. 10). Im Rahmen des zweiten Schriftenwechsels (Replik vom 11. September 2002 [Urk. 14], Duplik vom 29. November 2002 [Urk. 20]) hielten die Parteien an ihren AntrÃ¤gen fest. Das Gericht lud mit VerfÃ¼gung vom 31. MÃ¤rz 2003 (Urk. 23) die vom Prozess mitbetroffene K.___ zum Verfahren bei. Deren Eingabe vom 16. Juni 2003 (Urk. 26), worin sie sich gegen eine Auszahlung des Todesfallkapitals an die Witwe aussprach, wurde den Ã¼brigen Parteien zur Stellungnahme zugesandt (Urk. 28), wovon die KlÃ¤gerin am 21. August 2003 Gebrauch machte (Urk. 30), worauf die Beklagte indes verzichtete (Urk. 32). Anschliessend wurde der Schriftenwechsel geschlossen (VerfÃ¼gung vom 26. August 2003, Urk. 33).</w:t>
      </w:r>
    </w:p>
    <w:p>
      <w:r>
        <w:t>Auf die Parteivorbringen wird soweit nÃ¶tig in den nachfolgenden ErwÃ¤gungen Bezug genommen.</w:t>
      </w:r>
    </w:p>
    <w:p>
      <w:r>
        <w:t>Das Gericht zieht in ErwÃ¤gung:</w:t>
      </w:r>
    </w:p>
    <w:p>
      <w:r>
        <w:t>1.Â Â Â Â Â Â  Der Anspruch auf ein Todesfallkapital ist weder im Bundesgesetz Ã¼ber die obligatorische berufliche Alters-, Hinterlassenen- und Invalidenvorsorge (BVG) noch in seinen AusfÃ¼hrungsvorschriften ausdrÃ¼cklich geregelt. Diese gesetzlich nicht vorgesehene Leistung ist demnach Ã¼berobligatorischer Natur (BrÃ¼hwiler, Obligatorische berufliche Vorsorge, in: Schweizerisches Bundesverwaltungsrecht [SBVR], Soziale Sicherheit, Basel 1998, Rz 15).</w:t>
      </w:r>
    </w:p>
    <w:p>
      <w:r>
        <w:t>Im Bereich der Ã¼berobligatorischen beruflichen Vorsorge ist das RechtsverhÃ¤ltnis zwischen einer Vorsorgeeinrichtung und der Vorsorgenehmerin nicht durch einen Versicherungsvertrag im Sinne des Bundesgesetzes Ã¼ber den Versicherungsvertrag (VVG), sondern durch einen sog. Vorsorgevertrag begrÃ¼ndet, der als Innominatskontrakt (sui generis) zu bezeichnen ist. Als solcher untersteht er in erster Linie den allgemeinen Bestimmungen des Obligationenrechts (OR). Das Reglement stellt den vorformulierten Inhalt des Vorsorgevertrages bzw. dessen Allgemeine Bedingungen dar, denen sich der Versicherte ausdrÃ¼cklich oder durch konkludentes Verhalten unterzieht; gegebenenfalls kÃ¶nnen individuelle Abmachungen hinzutreten. Es ist nach dem Vertrauensprinzip auszulegen, wobei jedoch die den Allgemeinen Bedingungen innewohnenden Besonderheiten zu beachten sind, wie insbesondere die sog. Unklarheits- und UngewÃ¶hnlichkeitsregeln. Im Todesfall des Versicherten erlangen die Anspruchsberechtigten die Leistung des VorsorgetrÃ¤gers weder aufgrund eines erbrechtlichen Anspruchs noch aufgrund der BegÃ¼nstigungsklausel nach Art. 76 ff. VVG, sondern aus einem echten Vertrag zugunsten Dritter im Sinne von Art. 112 Abs. 2 OR (BGE 116 V 222 Erw. 2 mit Hinweisen auf Rechtsprechung und Lehre).</w:t>
      </w:r>
    </w:p>
    <w:p>
      <w:r>
        <w:t>2.Â Â Â Â Â Â  Die den Anspruch auf das Todesfallkapital regelnde Ziffer 3.4.11 des hier zur Anwendung gelangenden, beklagtischen Reglements, gÃ¼ltig ab 1. Januar 1991, lautet wie folgt (Urk. 2/5):</w:t>
      </w:r>
    </w:p>
    <w:p>
      <w:r>
        <w:t>Â Â Â Â Â Â Â Â Â Â  Im Todesfall gilt folgende BegÃ¼nstigungsordnung:</w:t>
      </w:r>
    </w:p>
    <w:p>
      <w:r>
        <w:t>a) Anspruch auf das volle Todesfallkapital haben:</w:t>
      </w:r>
    </w:p>
    <w:p>
      <w:r>
        <w:t>- der Ehegatte;</w:t>
      </w:r>
    </w:p>
    <w:p>
      <w:r>
        <w:t>- bei dessen Fehlen: die Kinder, fÃ¼r deren Unterhalt der Verstorbene im Zeitpunkt seines Todes oder in den letzten Jahren davor ganz oder teilweise aufgekommen ist;</w:t>
      </w:r>
    </w:p>
    <w:p>
      <w:r>
        <w:t>- bei deren Fehlen: die Ã¼brigen Personen, die der Verstorbene in erheblichem Masse unterstÃ¼tzt hat;</w:t>
      </w:r>
    </w:p>
    <w:p>
      <w:r>
        <w:t>- bei deren Fehlen: die erbberechtigten Nachkommen des Verstorbenen;</w:t>
      </w:r>
    </w:p>
    <w:p>
      <w:r>
        <w:t>- bei deren Fehlen: die Eltern des Verstorbenen;</w:t>
      </w:r>
    </w:p>
    <w:p>
      <w:r>
        <w:t>- bei deren Fehlen: die Geschwister des Verstorbenen oder deren Kinder.</w:t>
      </w:r>
    </w:p>
    <w:p>
      <w:r>
        <w:t>b) Sind keine der unter lit. a erwÃ¤hnten Personen vorhanden, wird das halbe Todesfallkapital an die Ã¼brigen gesetzlichen Erben, unter Ausschluss des Gemeinwesens, ausgerichtet.</w:t>
      </w:r>
    </w:p>
    <w:p>
      <w:r>
        <w:t>Nicht ausbezahlte Todesfallkapitalien fallen an das Vorsorgewerk.</w:t>
      </w:r>
    </w:p>
    <w:p>
      <w:r>
        <w:t>WÃ¼nscht der Arbeitnehmer eine spezielle BegÃ¼nstigungsordnung, kann er innerhalb der in lit. a umschriebenen Personengruppe die BegÃ¼nstigten sowie das Ausmass der einzelnen AnsprÃ¼che nÃ¤her bezeichnen, sofern dadurch dem Vorsorgezweck besser Rechnung getragen wird.</w:t>
      </w:r>
    </w:p>
    <w:p>
      <w:r>
        <w:t>Sind keine der in lit. a erwÃ¤hnten Personen vorhanden, so kann er den oder die gesetzlichen Erben und deren Anteil am halben Todesfallkapital bezeichnen.</w:t>
      </w:r>
    </w:p>
    <w:p>
      <w:r>
        <w:t>FÃ¼r eine spezielle BegÃ¼nstigungsordnung hat er ein schriftliches, begrÃ¼ndetes Gesuch an die Personalvorsorge-Kommission zu richten. Diese ist bei ihrem Entscheid an den in der Stiftungsurkunde aufgefÃ¼hrten Stiftungszweck gebunden. Sie orientiert den Stiftungsrat Ã¼ber ihren Entscheid.</w:t>
      </w:r>
    </w:p>
    <w:p>
      <w:r>
        <w:t>Der Arbeitnehmer kann eine spezielle BegÃ¼nstigungsordnung jederzeit widerrufen. In diesem Fall tritt ohne weiteres die reglementarische BegÃ¼nstigungsordnung wieder in Kraft.</w:t>
      </w:r>
    </w:p>
    <w:p>
      <w:r>
        <w:t>Â Â Â Â Â Â Â Â  Als Zweck der Personalvorsorge wird in Ziffer 1.2.1 des Reglements genannt:</w:t>
      </w:r>
    </w:p>
    <w:p>
      <w:r>
        <w:t>Zweck dieser Personalvorsorge ist es, die Arbeitnehmer und deren Hinterlassene gegen die wirtschaftlichen Folgen von Erwerbsausfall im Alter, bei Tod oder ErwerbsunfÃ¤higkeit zu schÃ¼tzen. Ferner werden die Anforderungen des Bundesgesetzes Ã¼ber die berufliche Alters-, Hinterlassenen- und Invalidenvorsorge vom 25. Juni 1982 (in der Folge "BVG" genannt) erfÃ¼llt.</w:t>
      </w:r>
    </w:p>
    <w:p>
      <w:r>
        <w:t>Der in Ziffer 2.1 der Stiftungsurkunde aufgefÃ¼hrte Stiftungszweck wird wie folgt umschrieben (Urk. 2/3):</w:t>
      </w:r>
    </w:p>
    <w:p>
      <w:r>
        <w:t>Die Stiftung bezweckt, die Arbeitnehmer und Arbeitgeber der ihr angeschlossenen Unternehmen (nachstehend "Arbeitgeber" genannt) nach Massgabe ihrer Reglemente gegen die wirtschaftlichen Folge des Erwerbsausfalles infolge von Alter, Tod und InvaliditÃ¤t zu schÃ¼tzen.</w:t>
      </w:r>
    </w:p>
    <w:p>
      <w:r>
        <w:t>3.Â Â Â Â Â Â</w:t>
      </w:r>
    </w:p>
    <w:p>
      <w:r>
        <w:t>3.1Â Â Â Â  Die KlÃ¤gerin liess geltend machen (Urk. 1), die BegÃ¼nstigungsÃ¤nderung sei einerseits in formaler Hinsicht mangelhaft zustande gekommen und entspreche andererseits nicht den materiellen reglementarischen Voraussetzungen (Art. 15). Schon aus der GesuchsbegrÃ¼ndung selber ergebe sich, dass der verstorbene A.___ habe versuchen wollen, K.___ etwas zurÃ¼ckzugeben, weil diese wÃ¤hrend Jahren den weit Ã¼berwiegenden Teil des gemeinsamen Lebens finanziert habe (Art. 5). A.___ habe aufgrund geringer Einkommen und hoher Unterhaltsverpflichtungen keine UnterstÃ¼tzung an seine LebensgefÃ¤hrtin leisten kÃ¶nnen (Art. 6-8). Ihm sei sÃ¤mtliches, Ã¼ber dem Existenzminimum liegendes Einkommen immer weggepfÃ¤ndet worden (Art. 10-11). Ferner habe A.___ selber im Zusammenhang mit einem Strafverfahren wegen VernachlÃ¤ssigung von Unterhaltspflichten ausgesagt, die Beziehung zu K.___ sei im Januar 1999 in die BrÃ¼che gegangen. In einem Schreiben an den Inkassodienst des FÃ¼rsorgeamtes Bern vom 27. Oktober 2000 im Zusammenhang mit seiner LohnpfÃ¤ndung fÃ¼r die Alimente seiner Ehefrau habe der Verstorbene ausserdem ausgefÃ¼hrt, er kÃ¶nne infolge falscher Berechnung des Existenzminimums seit Juli seine Miete nicht mehr bezahlen, von den Verpflichtungen gegenÃ¼ber seinem Sohn und seiner LebensgefÃ¤hrtin ganz zu schweigen (Art. 9). Aufgrund der aktenkundigen finanziellen Lage sowie von diversen Ãusserungen des Verstorbenen selber gegenÃ¼ber PfÃ¤ndungsbehÃ¶rden und anderen sei erwiesen, dass dieser bis zu seinem Ableben nie in der Lage gewesen sei, K.___ in erheblichem Masse zu unterstÃ¼tzen.</w:t>
      </w:r>
    </w:p>
    <w:p>
      <w:r>
        <w:t>Â Â Â Â Â Â Â Â  In formeller Hinsicht wird gerÃ¼gt, das Formular trage unerklÃ¤rlicherweise dasselbe Datum, wie das von der AnwÃ¤ltin verfasste Gesuch, und weise vom Ã¼blichen Unterschriftsbild markant abweichende SchriftzÃ¼ge auf, weshalb an der Echtheit gezweifelt werden mÃ¼sse. Aufgrund seines gesundheitlichen Zustandes und der medikamentÃ¶sen Behandlung im Zeitpunkt des Gesuches sei auch an der HandlungsfÃ¤higkeit von A.___ zu zweifeln (Art. 12 und 14). Schliesslich habe die Personalvorsorge-Kommission des SVJ unmÃ¶glich frist- und formgerecht zum BegÃ¼nstigungsgesuch vom 1. Dezember 2000 die notwendige Zustimmung erteilen kÃ¶nnen (Art. 13). Das entsprechende Schreiben vom 15. Dezember 2000 sei erst nach dem Ableben des Versicherten, am 21. Dezember 2000, bei der Beklagten eingetroffen, weshalb nach einer Klausel im Formular die Ãnderung der BegÃ¼nstigungsordnung bis zum Tod von A.___ gar nicht habe eintreten kÃ¶nnen (Art. 12 am Schluss).</w:t>
      </w:r>
    </w:p>
    <w:p>
      <w:r>
        <w:t>Â Â Â Â Â Â Â Â  Ferner wird (vgl. insbesondere Duplik vom 11. September 2002, Urk. 14, und Stellungnahme vom 21. August 2003, Urk. 30) ausgefÃ¼hrt, die finanzielle Lage der KlÃ¤gerin sei keinesfalls gÃ¼nstig, sondern sie sei als Invalide auf ErgÃ¤nzungsleistungen angewiesen.</w:t>
      </w:r>
    </w:p>
    <w:p>
      <w:r>
        <w:t>3.2 DemgegenÃ¼ber fÃ¼hrte die Beklagte aus (Urk. 10), die Personalvorsorge-Kommission habe dem Antrag zur BegÃ¼nstigungsÃ¤nderung am 15. Dezember 2000 zugestimmt, und verwies auf das entsprechende Schreiben gleichen Datums (Urk. 2/30). Es gelte zu prÃ¼fen, ob die vom paritÃ¤tischen Organ gutgeheissene Ãnderung der BegÃ¼nstigungsordnung nach wie vor den aktuellen massgeblichen UnterstÃ¼tzungspflichten der versicherten Person am besten Rechnung trage. Dies sei vorliegend der Fall, weil zwischen dem Gesuch und dem Todesfall nur drei Wochen verstrichen seien. Ferner sei zu prÃ¼fen, wem gegenÃ¼ber die versicherte Person vorsorgepflichtig gewesen sei. Nachdem die KlÃ¤gerin Anspruch auf jÃ¤hrliche Witwenrenten der ersten und der zweiten SÃ¤ule erworben habe, welche die UnterhaltsbeitrÃ¤ge des Verstorbenen Ã¼berstiegen, sei ihr aus dem Tod des Versicherten kein Versorgerschaden entstanden. Dagegen sei erwiesen, dass der Verstorbene mit K.___ und dem 1989 geborenen gemeinsamen Sohn zusammengelebt, die Lebenspartnerin sich der HaushaltsfÃ¼hrung und Kinderbetreuung gewidmet habe und nicht mehr erwerbstÃ¤tig gewesen sei. Diese Tatsachen seien dazu geeignet, den Anspruch von K.___ aufgrund des Gesuchs um BegÃ¼nstigungsÃ¤nderung vom 1. Dezember 2000 zu begrÃ¼nden.</w:t>
      </w:r>
    </w:p>
    <w:p>
      <w:r>
        <w:t>3.3Â Â Â Â  Die Beigeladene schliesslich wandte ein (Urk. 26), sie habe seit 1983 bis zum Tode von A.___ mit diesem zusammengelebt, der gemeinsame Sohn habe Ã¼bergangslos die Schulen in Basel und danach in Bern besucht. Nachdem sie ihre letzten privaten Mittel aufgebraucht gehabt habe, sei die Anstellung des Verstorbenen beim X.___ fÃ¼r die Familie lebensrettend gewesen, weil sie nach Ã¼ber 15 Jahren Pause in ihrem alten Beruf keine Anstellung mehr gefunden hÃ¤tte. Die BegÃ¼nstigungsÃ¤nderung sei von A.___ bereits im Oktober 2000 veranlasst worden, als der Krankheitszustand noch nicht so dramatisch gewesen sei. Auch habe er die Scheidungsklage schon im Mai 2000 angestrengt, die nachlÃ¤ssigerweise von der AnwÃ¤ltin jedoch erst im November 2000 eingereicht worden sei.</w:t>
      </w:r>
    </w:p>
    <w:p>
      <w:r>
        <w:rPr>
          <w:b/>
        </w:rPr>
        <w:t>E. 4</w:t>
      </w:r>
    </w:p>
    <w:p>
      <w:r>
        <w:t>Zustellung gegen Empfangsschein an:</w:t>
      </w:r>
    </w:p>
    <w:p>
      <w:r>
        <w:t>- FÃ¼rsprecher Beat Liechti</w:t>
      </w:r>
    </w:p>
    <w:p>
      <w:r>
        <w:t>- Winterthur-Columna Stiftung fÃ¼r berufliche Vorsorge</w:t>
      </w:r>
    </w:p>
    <w:p>
      <w:r>
        <w:t>- K.___</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rPr>
          <w:b/>
        </w:rPr>
        <w:t>E. 4.1</w:t>
      </w:r>
    </w:p>
    <w:p>
      <w:r>
        <w:t>Aufgrund der vorliegenden Akten besteht kein Anlass, daran zu zweifeln, dass die reglementarisch festgesetzten formellen Voraussetzungen fÃ¼r eine BegÃ¼nstigungsÃ¤nderung durch das Gesuch vom 1. Dezember 2000 erfÃ¼llt sind. Das massgebliche Reglement fordert einzig ein schriftliches und begrÃ¼ndetes Gesuch. Diesem Erfordernis wurde durch das Schreiben der vom Verstorbenen unbestrittenermassen mandatierten AnwÃ¤ltin vom 1. Dezember 2000 erschÃ¶pfend Rechnung getragen (Urk. 2/16). Das von der Beklagten offenbar zur VerfÃ¼gung gestellte und im Gesuch erwÃ¤hnte Formular "BegÃ¼nstigungsÃ¤nderung", welches ebenfalls vom 1. Dezember 2000 datiert und vom Verstorbenen unterzeichnet nachgereicht wurde (Urk. 2/29), ist nicht erforderlich. Es ist daher ohne Belang, wann genau dieses Formular bei der Beklagten beziehungsweise der Personalvorsorge-Kommission eingegangen war und welche Tragweite der darin vorgedruckte Hinweis hat, wonach bis zur Antwort der Beklagten die statutarische Regelung Platz greift, zumal diese FormalitÃ¤t nicht reglementarisch festgesetzt ist und lediglich dem Schutz der Vorsorgeeinrichtung dienen soll, damit diese den reglementarischen Vorschriften nachkommen darf, solange sie keine Kenntnis der vom Versicherten gewÃ¼nschten BegÃ¼nstigungsordnung und der Zustimmung der Personalvorsorge-Kommission hat. Ferner steht fest, dass die Personalvorsorge-Kommission der Beklagten mit Schreiben vom 15. Dezember 2000 die Ãnderung der BegÃ¼nstigtenordnung anzeigte und gleichzeitig mitteilte, dass sie dem Ãnderungswunsch am 13. Dezember 2000 zugestimmt habe (Urk. 2/30). Dieses Schreiben wurde vom Arbeitgeber- wie vom Arbeitnehmervertreter unterzeichnet und dessen Echtheit wird zu Recht nicht bestritten. Es ist nicht ersichtlich, was die KlÃ¤gerin aufgrund des geltenden Organisationsreglementes und des mÃ¶glichen zeitlichen Ablaufs zu ihren Gunsten ableiten will. Dass der reglementarisch notwendige Zustimmungsbeschluss tatsÃ¤chlich erfolgt ist, steht ausser Zweifel und wird von keinem der Mitglieder oder dem Stiftungsrat angefochten. Unerheblich ist, in welcher Form dies geschehen ist, wobei das Organisationsreglement bei Einstimmigkeit auch den Zirkularweg vorsieht und mit Zustimmung der Mitglieder auf Einhaltung der Einberufungsfristen auch verzichtet werden kann (Ziffer 4.1-2 des Organisationsregelementes, Urk. 2/4).</w:t>
      </w:r>
    </w:p>
    <w:p>
      <w:r>
        <w:t>4.2Â Â Â Â  Zu prÃ¼fen bleibt, ob die Personalvorsorge-Kommission zu Recht ihre Zustimmung erteilte, indem sie feststellte, dass die GrÃ¼nde fÃ¼r die ÃnderungswÃ¼nsche den reglementarischen Bestimmungen entsprechen wÃ¼rden. Dieses schreibt vor, dass die Personalvorsorge-Kommission bei ihrem Entscheid an den in der Stiftungsurkunde aufgefÃ¼hrten Stiftungszweck gebunden ist (Ziffer 3.4.11 Abs. 3 letzter Satzteil und Abs. 5 des Reglementes).</w:t>
      </w:r>
    </w:p>
    <w:p>
      <w:r>
        <w:t>Â Â Â Â Â Â Â Â  Nachdem A.___ im Zeitpunkt seines Todes mit der KlÃ¤gerin noch verheiratet gewesen war und diese reglementarisch vorrangig Anspruch auf das Todesfallkapital hatte, konnte der Versicherte nur eine solche Person begÃ¼nstigen, die einer der in Ziffer 3.4.11 lit. a des Reglementes umschriebenen Personengruppe angehÃ¶rt. In Bezug auf K.___ in Frage kommt dabei lediglich die Voraussetzung, wonach der Verstorbene diese "in erheblichem Masse unterstÃ¼tzt hat". Ferner ist zu beachten, dass durch die BegÃ¼nstigtenÃ¤nderung dem Vorsorgezweck besser Rechnung getragen werden soll (Ziffer 3.4.11 Abs. 3).</w:t>
      </w:r>
    </w:p>
    <w:p>
      <w:r>
        <w:t>Â Â Â Â Â Â Â Â  Aufgrund der sowohl von A.___ wie K.___ unterzeichneten MietvertrÃ¤ge fÃ¼r den Zeitraum 1992 bis 1998 (Urk. 2/36-37), des gemeinsamen, 1989 geborenen Sohnes Marc sowie zumindest des im Zeitpunkt des Todes zweifellos bestehenden gemeinsamen Haushaltes in der Wohnung an derÂ  in Wabern, die der Verstorbene ab 30. April 1999 gemietet hatte (Urk. 2/28), ist erwiesen, dass der Verstorbene zu der von ihm BegÃ¼nstigten seit Jahren und im Zeitpunkt seines Todes eine Lebensgemeinschaft unterhielt. Dabei ist unerheblich, ob der gemeinsame Haushalt allenfalls zwischendurch unterbrochen gewesen ist, wie die KlÃ¤gerin aufgrund diverser amtlichen WohnsitzbestÃ¤tigungen Glauben machen will (vgl. Urk. 15/47-53), und welcher Natur die Beziehung im Zeitpunkt des Todes (noch) war, weshalb auch die nicht geklÃ¤rte Angabe des Verstorbenen im Zusammenhang mit dem Strafverfahren wegen VernachlÃ¤ssigung von Unterhaltspflichten (Urk. 2/20) keiner weiteren AbklÃ¤rung bedarf. Tatsache ist auch, dass der Verstorbene sich offenbar schon seit FrÃ¼hjahr 2000 bemÃ¼hte, die laufenden LohnpfÃ¤ndungen zu reduzieren, mit der BegrÃ¼ndung, er kÃ¶nne ansonsten seinen Verpflichtungen gegenÃ¼ber der LebensgefÃ¤hrtin und dem Sohn nicht nachkommen (Urk. 2/21 und Urk. 21/1), und das fÃ¼r das Inkasso zustÃ¤ndige FÃ¼rsorgeamt diesem Ansinnen Rechnung trug, indem es einer Reduktion der pfÃ¤ndbaren Quote auf Fr. 1'200.-- ab FrÃ¼hling und einer solchen auf Fr. 500.-- ab Herbst 2000 zustimmte (vgl. Urk. 21/1). Abgesehen davon belegt die Forderungseingabe des FÃ¼rsorgeamtes fÃ¼r ausstehende UnterhaltsbeitrÃ¤ge Ã¼ber rund vier Jahre (ohne Verlustscheine vom 27. August 1997 eine Forderung von Fr. 84'100.--; Urk. 2/12), dass der Verstorbene den Unterhaltspflichten gegenÃ¼ber der KlÃ¤gerin effektiv nur hÃ¶chst lÃ¼ckenhaft nachgekommen ist, weshalb die Berechnung der KlÃ¤gerin, wonach er den grÃ¶ssten Teil des seit Sommer 1999 wiederum regelmÃ¤ssig fliessenden Erwerbseinkommens hierfÃ¼r aufgewendet haben soll, nicht zutreffen kann. Dass sich der Verstorbene gegenÃ¼ber seiner LebensgefÃ¤hrtin und Mutter seines minderjÃ¤hrigen Sohnes auch zu finanzieller UnterstÃ¼tzung verpflichtet fÃ¼hlte und diese zumindest wenige Monate vor seinem Tode auch effektiv finanziell unterstÃ¼tzte, ist daher nicht in Abrede zu stellen. In diesem Zusammenhang ist auch von Bedeutung, dass K.___ offensichtlich Ã¼ber sein Lohnkonto verfÃ¼gen konnte (Urk. 2/33). Zu beachten bleibt ausserdem, dass diese Ã¼ber Jahre bis zum Konkurs 1997 in seiner Firma gearbeitet und hierfÃ¼r einen nicht unmassgeblichen Lohn bezogen hatte (vgl. Urk. 15/55), was eine zumindest indirekte finanzielle UnterstÃ¼tzung des Verstorbenen darstellt. Nachdem die reglementarischen Bestimmungen keine Mindestdauer der massgeblichen UnterstÃ¼tzung vorschreiben und diese vom Wortlaut her auch nicht ausschliesslich finanzieller Natur sein muss, ist die nachgewiesene, tatsÃ¤chliche und massgebliche UnterstÃ¼tzung des Verstorbenen gegenÃ¼ber seiner nicht mehr erwerbstÃ¤tigen LebensgefÃ¤hrtin im Zeitpunkt des Todes und zumindest fÃ¼r eine gewisse Zeit vorher ausreichend. Dass durch die BegÃ¼nstigtenÃ¤nderung dem Vorsorgezweck entsprechend den reglementarischen und der in der Stiftungsurkunde umschriebenen Bestimmungen besser Rechnung getragen wird, hat die Beklagte bereits in zutreffender Weise dargelegt, worauf verwiesen werden kann.</w:t>
      </w:r>
    </w:p>
    <w:p>
      <w:r>
        <w:t>Â Â Â Â Â Â Â Â  Aus diesen GrÃ¼nden entspricht die vom Verstorbenen gewÃ¼nschte und veranlasste BegÃ¼nstigtenÃ¤nderung auch den materiellen Voraussetzungen des Reglements und trug die Personalvorsorge-Kommission durch ihre Zustimmung dem Stiftungszweck genÃ¼gend Rechnung. Demnach hat die KlÃ¤gerin keinen Anspruch auf das durch das Ableben von A.___ angefallene Todesfallkapital, weshalb die Klage abzuweisen ist.</w:t>
      </w:r>
    </w:p>
    <w:p>
      <w:r>
        <w:t>5.Â Â Â Â Â Â  Nach Â§ 34 Abs. 2 des Gesetzes Ã¼ber das Sozialversicherungsgericht (GSVGer) steht den VersicherungstrÃ¤gern und den Gemeinwesen in der Regel kein Anspruch auf Ersatz der Parteikosten zu. GrÃ¼nde fÃ¼r ein Abweichen von dieser Regel sind nicht gegeben, zumal die unvertretene Beklagte auch keine erheblichen Parteikosten nachgewiesen hat und mutwillige ProzessfÃ¼hrung nicht vorliegt. Ihrem Antrag ist daher nicht stattzugeben.</w:t>
      </w:r>
    </w:p>
    <w:p>
      <w:r>
        <w:t>Das Gericht erkennt:</w:t>
      </w:r>
    </w:p>
    <w:p>
      <w:r>
        <w:t>1.Â Â Â Â Â Â Â Â  Die Klage wird abgewiesen.</w:t>
      </w:r>
    </w:p>
    <w:p>
      <w:r>
        <w:t>2.Â Â Â Â Â Â Â Â  Das Verfahren ist kostenlos.</w:t>
      </w:r>
    </w:p>
    <w:p>
      <w:r>
        <w:t>3.Â Â Â Â Â Â Â Â  Der Beklagten wird keine ProzessentschÃ¤digung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