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AL.2025.00154 vom 21. November 2025</w:t>
      </w:r>
    </w:p>
    <w:p>
      <w:r>
        <w:t>ZH Sozialversicherungsgericht, 2025-11-21, DE</w:t>
      </w:r>
    </w:p>
    <w:p>
      <w:r>
        <w:rPr>
          <w:b/>
        </w:rPr>
        <w:t xml:space="preserve">Quelle: </w:t>
      </w:r>
      <w:r>
        <w:t>https://mcp.opencaselaw.ch/entscheid/zh_sozialversicherungsgericht_AL.2025.00154</w:t>
      </w:r>
    </w:p>
    <w:p>
      <w:r>
        <w:t>FR: ZH_SOZIALVERSICHERUNGSGERICHT AL.2025.00154 du 21 novembre 2025</w:t>
      </w:r>
    </w:p>
    <w:p>
      <w:r>
        <w:t>IT: ZH_SOZIALVERSICHERUNGSGERICHT AL.2025.00154 del 21 novembre 2025</w:t>
      </w:r>
    </w:p>
    <w:p>
      <w:pPr>
        <w:pStyle w:val="Heading2"/>
      </w:pPr>
      <w:r>
        <w:t>Erwägungen</w:t>
      </w:r>
    </w:p>
    <w:p>
      <w:r>
        <w:rPr>
          <w:b/>
        </w:rPr>
        <w:t>E. 1</w:t>
      </w:r>
    </w:p>
    <w:p>
      <w:r>
        <w:t>X.___ , geboren 1971, arbeitete vom 1. März 2020 bis zur Selbstkün digung per 30. November 2024 als Direktor bei der Y.___ AG ( Urk. 6/14, Urk. 6/160 ). Am 11. November 2024 meldete er sich beim regionalen Arbeitsver mittlungszentrum (RAV) Zürich Lagerstrasse zur Arbeitsvermittlung (Urk. 6/13) und beantragte am 19. November 2024 Arbeitslosenentschädigung ab dem 1. Dezember 2024 (Urk. 6/9 ff.). Das Amt für Arbeit (AFA) stellte den Versicherten mit Verfügung vom 23. April 2025 wegen ungenügender persönlicher Arbeitsbe mühungen ab dem 1. Januar 2025 für</w:t>
      </w:r>
    </w:p>
    <w:p>
      <w:r>
        <w:rPr>
          <w:b/>
        </w:rPr>
        <w:t>E. 1.1</w:t>
      </w:r>
    </w:p>
    <w:p>
      <w:r>
        <w:t>Da der Streitwert Fr. 30’000.-- nicht übersteigt, fällt die Beurteilung der Beschwerde in die einzelrichterliche Zuständigkeit (§ 11 Abs. 1 Gesetzes über das Sozialversicherungsgericht , GSVGer ).</w:t>
      </w:r>
    </w:p>
    <w:p>
      <w:r>
        <w:rPr>
          <w:b/>
        </w:rPr>
        <w:t>E. 1.2</w:t>
      </w:r>
    </w:p>
    <w:p>
      <w:r>
        <w:t>Nach Art. 17 Abs. 1 des Bundesgesetzes über die obligatorische Arbeitslosenver sicherung und die Insolvenzentschädigung (AVIG) muss die versicherte Person, die Versicherungsleistungen beanspruchen will, mit Unterstützung des zuständi gen Arbeitsamtes alles Zumutbare unternehmen, um Arbeitslosigkeit zu vermei den oder zu verkürzen. Insbesondere ist sie verpflichtet, Arbeit zu suchen, nötigen falls auch ausserhalb ihres bisherigen Berufes. Sie muss ihre Bemühungen nachweisen können. Gemäss Art. 30 Abs. 1 lit . c AVIG ist die versicherte Person in der Anspruchsberechtigung einzustellen, wenn sie sich persönlich nicht genü gend um zumutbare Arbeit bemüht.</w:t>
      </w:r>
    </w:p>
    <w:p>
      <w:r>
        <w:t>Gemäss Art. 26 Abs. 2 Satz 1 der Verordnung über die obligatorische Arbeitslosen versicherung und die Insolvenzentschädigung ( AVIV ) muss die ver sicherte Person den Nachweis der Arbeitsbemühungen für jede Kontrollperiode spätestens am fünften Tag des folgenden Monats oder am ersten auf diesen Tag folgenden Werktag einreichen. Als Kontrollperiode gilt jeder Kalendermonat (Art. 27a AVIV). Die Arbeitsbemühungen werden nach Art. 26 Abs. 2 Satz 2 AVIV nicht mehr berücksichtigt, wenn die versicherte Person die Frist ver streichen lässt und keinen entschuldbaren Grund geltend macht. Die Einstellung erfolgt, ohne dass eine zusätzliche Frist gewährt werden müsste. Unerheblich ist, ob die Nachweise später erbracht werden, zum Beispiel in einem Einsprachever fahren (Urteil des Bundesgerichts 8C_40/2016 vom 21. April 2016 E. 4.2 mit Hin weis auf BGE 139 V 164 E. 3.2 f.).</w:t>
      </w:r>
    </w:p>
    <w:p>
      <w:r>
        <w:rPr>
          <w:b/>
        </w:rPr>
        <w:t>E. 1.3</w:t>
      </w:r>
    </w:p>
    <w:p>
      <w:r>
        <w:t>Bei der Beurteilung der Frage, ob sich eine versicherte Person genügend um zumut bare Arbeit bemüht hat, ist nicht nur die Quantität, sondern auch die Qua 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Kupfer Bucher, Rechtsprechung des Bundesgerichts zum AVIG, 6. Auflage, Zürich/Genf 2025, S. 111).</w:t>
      </w:r>
    </w:p>
    <w:p>
      <w:r>
        <w:t>Betreffend Quantität der persönlichen Arbeitsbemühungen können zwar keine eindeutigen Zahlenwerte angegeben werden, in der Regel müssen aber mindes tens zehn bis zwölf geeignete Arbeitsbemühungen je Kontrollperiode nachge wiesen werden (BGE 141 V 365 E. 4.1 mit Hinweis auf BGE 139 V 524 E. 2.1.4).</w:t>
      </w:r>
    </w:p>
    <w:p>
      <w:r>
        <w:t>Eine in qualitativer Hinsicht genügende Suchbemühung setzt voraus, dass mit dem möglichen Arbeitgeber tatsächlich ein Kontakt zustande kommt (Urteil des Bundesgerichts C 275/05 vom 6. November 2006 E. 3.2). Qualitativ nicht genü gend ist die blosse Anmeldung bei einem Stellenvermittlungsbüro (Urteil des Bundesgerichts 8C_468/2020 vom 27. Oktober 2020 E. 5.3 mit Hinweisen; vgl.</w:t>
      </w:r>
    </w:p>
    <w:p>
      <w:r>
        <w:t>auch Kupfer Bucher, a.a.O., S. 183 mit Hinweis). Qualifizierte Berufsleute dürfen zudem ihre Suchbemühungen nur zu Beginn der Arbeitslosigkeit auf den bishe rigen Berufszweig beschränken (BGE 139 V 524 E. 2.1.3). 1.</w:t>
      </w:r>
    </w:p>
    <w:p>
      <w:r>
        <w:rPr>
          <w:b/>
        </w:rPr>
        <w:t>E. 4</w:t>
      </w:r>
    </w:p>
    <w:p>
      <w:r>
        <w:t>Die Dauer der Einstellung bemisst sich nach dem Grad des Verschuldens (Art. 30 Abs. 3 AVIG) und beträgt 1 bis 15 Tage bei leichtem, 16 bis 30</w:t>
      </w:r>
    </w:p>
    <w:p>
      <w:r>
        <w:t>Tage bei mittel schwerem und 31</w:t>
      </w:r>
    </w:p>
    <w:p>
      <w:r>
        <w:t>bis 60 Tage bei schwerem Verschulden (Art. 45 Abs. 3 AVIV). 1.</w:t>
      </w:r>
    </w:p>
    <w:p>
      <w:r>
        <w:rPr>
          <w:b/>
        </w:rPr>
        <w:t>E. 5</w:t>
      </w:r>
    </w:p>
    <w:p>
      <w:r>
        <w:t>Der Einspracheentscheid vom 1. Juli 2025 ( Urk. 2) erweist sich somit als rechtens, was zur Abweisung der Beschwerde führt.</w:t>
      </w:r>
    </w:p>
    <w:p>
      <w:r>
        <w:t>Da im vorliegenden Verfahren keine Prozesskosten erhoben werden, erweist sich das – gänzlich unbegründete – Gesuch um Verzicht auf Erhebung von Prozess kosten als obsolet. De r Einzelrichter erkennt: 1.</w:t>
      </w:r>
    </w:p>
    <w:p>
      <w:r>
        <w:t>Die Beschwerde wird abgewiesen. 2.</w:t>
      </w:r>
    </w:p>
    <w:p>
      <w:r>
        <w:t>Das Verfahren ist kostenlos. 3.</w:t>
      </w:r>
    </w:p>
    <w:p>
      <w:r>
        <w:t>Zustellung gegen Empfangsschein an: - X.___ - Amt für Arbeit (AFA) - seco - Direktion für Arbeit - Arbeitslosenkasse 01 000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GräubHediger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