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AL.2024.00245 vom 10. Juli 2025</w:t>
      </w:r>
    </w:p>
    <w:p>
      <w:r>
        <w:t>ZH Sozialversicherungsgericht, 2025-07-10, DE</w:t>
      </w:r>
    </w:p>
    <w:p>
      <w:r>
        <w:rPr>
          <w:b/>
        </w:rPr>
        <w:t xml:space="preserve">Quelle: </w:t>
      </w:r>
      <w:r>
        <w:t>https://mcp.opencaselaw.ch/entscheid/zh_sozialversicherungsgericht_AL.2024.00245</w:t>
      </w:r>
    </w:p>
    <w:p>
      <w:r>
        <w:t>FR: ZH_SOZIALVERSICHERUNGSGERICHT AL.2024.00245 du 10 juillet 2025</w:t>
      </w:r>
    </w:p>
    <w:p>
      <w:r>
        <w:t>IT: ZH_SOZIALVERSICHERUNGSGERICHT AL.2024.00245 del 10 luglio 2025</w:t>
      </w:r>
    </w:p>
    <w:p>
      <w:pPr>
        <w:pStyle w:val="Heading2"/>
      </w:pPr>
      <w:r>
        <w:t>Erwägungen</w:t>
      </w:r>
    </w:p>
    <w:p>
      <w:r>
        <w:rPr>
          <w:b/>
        </w:rPr>
        <w:t>E. 1.1</w:t>
      </w:r>
    </w:p>
    <w:p>
      <w:r>
        <w:t>Nach Art. 9 Abs. 1 des Bundesgesetz es über die obligatorische Arbeitslosen 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1.2</w:t>
      </w:r>
    </w:p>
    <w:p>
      <w:r>
        <w:t>Eine der gesetzlichen Voraussetzungen für den Anspruch auf Arbeitslosenent schädigung besteht darin, dass die versicherte Person die Beitragszeit erfüllt hat oder von der Beitragspflicht befreit ist (Art. 8 Abs. 1 lit . e AVIG). Von der Erfüllung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Sozialversicherungsrechts,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Insolvenzentschädigung , AVIV ), liegt die erforderliche Kausalität zudem nur vor, wenn es der versicherten Person aus einem der in Art. 14 Abs. 1 lit . a bis c AVIG genannten Gründe auch nicht möglich und zumutbar war, ein Teilzeitarbeits verhältnis einzugehen (BGE 139 V 37 E. 5.1 mit Hinweisen).</w:t>
      </w:r>
    </w:p>
    <w:p>
      <w:r>
        <w:rPr>
          <w:b/>
        </w:rPr>
        <w:t>E. 2</w:t>
      </w:r>
    </w:p>
    <w:p>
      <w:r>
        <w:t>Dagegen erhob der Versicherte am 23. Dezember 2024 Beschwerde und bean tragte sinngemäss die Anerkennung der Anspruchsberechtigung (Urk. 1, Urk. 6).</w:t>
      </w:r>
    </w:p>
    <w:p>
      <w:r>
        <w:t>Mit Beschwerdeantwort vom 24. Februar 2025 beantragte die Beschwerde geg nerin die vollumfängliche Abweisung der Beschwerde (Urk. 9), was dem Beschwerdeführer mit Verfügung vom 26. Februar 2025 zur Kenntnis gebracht wurde (Urk. 12). Das Gericht zieht in Erwägung: 1.</w:t>
      </w:r>
    </w:p>
    <w:p>
      <w:r>
        <w:rPr>
          <w:b/>
        </w:rPr>
        <w:t>E. 2.1</w:t>
      </w:r>
    </w:p>
    <w:p>
      <w:r>
        <w:t>Die Beschwerdegegnerin begründete den angefochtenen Einspracheentscheid damit, dass der Beschwerdeführer während der massgebenden Rahmenfrist für die Beitragszeit vom 26. September 2022 bis 2</w:t>
      </w:r>
    </w:p>
    <w:p>
      <w:r>
        <w:rPr>
          <w:b/>
        </w:rPr>
        <w:t>E. 2.2</w:t>
      </w:r>
    </w:p>
    <w:p>
      <w:r>
        <w:t>Demgegenüber machte der Beschwerdeführer im Wesentlichen geltend, dass er nach seiner Tätigkeit bei der Y.___ AG vom 27. Oktober 2023 bis 31. März 2024 als Rechtsassistent bei A.___ in B.___ erwerbstätig gewesen sei, was bei der Beitragszeit anzurechnen sei; zudem habe er bereits im August 2024 Arbeitsbe mühungen getätigt (Urk. 1 , Urk. 6 S. 2 ).</w:t>
      </w:r>
    </w:p>
    <w:p>
      <w:r>
        <w:rPr>
          <w:b/>
        </w:rPr>
        <w:t>E. 2.3</w:t>
      </w:r>
    </w:p>
    <w:p>
      <w:r>
        <w:t>Im Rahmen der Beschwerdeantwort führte die Beschwerdegegnerin weiter aus, dass unter Berücksichtigung der bilateralen Bestimmungen die Beschäftigung bei A.___ in B.___ für die Berechnung der Beitragszeit nicht berücksichtigt werden könne (Urk. 9). 3. 3.1</w:t>
      </w:r>
    </w:p>
    <w:p>
      <w:r>
        <w:t>Auch wenn durch die Akten belegt ist, dass der Beschwerdeführer bereits am 15. August 2024 wieder in die Schweiz eingereist ist (Urk. 10/63) , und man weiter per August 2024 von ausreichenden Stellenbemühungen ausgehen würde, könnte der Beschwerdeführer daraus nichts zu seinen Gunsten ableiten. So ist die Rahmenfrist für den Leistungsbezug am ersten Tag zu eröffnen, an welchem sämtliche Anspruchsvoraussetzungen erfüllt sind (Art. 9 Abs. 2 AVIG). Dazu zählt insbesondere die Erfüllung der Kontrollvorschriften (Art. 8 Abs. 1 lit . g AVIG ), wobei vorliegend gemäss Art. 17 Abs. 2 AVIG insbesondere die persönliche Anmeldung bei der Arbeitsvermittlung als limitierender Faktor in Betracht fällt.</w:t>
      </w:r>
    </w:p>
    <w:p>
      <w:r>
        <w:t>Da die Anmeldung beim zuständigen RAV am 26. September 2024 erfolgte (Urk. 10/91) , ist die Festsetzung der Rahmenfristen entsprechend de m angefoch tenen Entscheid nicht zu beanstanden. Aufgrund der ab 26. September 2022 laufenden Rahmenfrist für die Beitragszeit ergibt sich damit aufgrund der Anstellung bei der Y.___ AG in der Zeit vom 1. Mai 2022 bis 31. August 2023 (Urk. 10/80) keine ausreichende Beschäftigungsdauer von 12 Monaten oder mehr , sodass die Beitragszeit allein aufgrund der in der Schweiz zurückgelegten Beschäftigungsdauer nicht erfüllt ist. 3.2</w:t>
      </w:r>
    </w:p>
    <w:p>
      <w:r>
        <w:t>Was die Anstellung in B.___ in der Zeit vom 27. Oktober 2023 bis 31. März 2024 betrifft (Urk. 6 S. 2, Urk. 7/2) , ist anzumerken, dass das d as C.___ per 31. Januar 2020 aus der Europäischen Union ( EU ) ausgetreten ist .</w:t>
      </w:r>
    </w:p>
    <w:p>
      <w:r>
        <w:t>Für Personen, die sich nach dem 1. Januar 2021 neu in einer grenzüber schrei tenden Situation befinden, gelangt das seit dem 1. November 2021 durch Noten austausch provisorisch angewendete neue Abkommen zur Koordinierung der sozialen Sicherheit zwischen der Schweizerischen Eidgenossenschaft und dem C.___ von D.___ und E.___ (SR 0.831.109.367.2) zur Anwendung (vgl. Weisung über die Auswirkungen der Verordnungen [EG] Nr. 883/2004 und 987/2009 auf die Arbeitslosenversicherung , Fussnote 40 zu B16).</w:t>
      </w:r>
    </w:p>
    <w:p>
      <w:r>
        <w:t>Eine Anrechnung von Beschäftigungszeiten im bilateralen Verhältnis kommt dabei gemäss Art. 56 Abs. 2 des genannten Abkommens nur dann zum Tragen, wenn die betreffende Person unmittelbar zuvor nach den Rechtsvorschriften, nach denen die Leistungen beantragt werden, Beschäftigungszeiten nachweisen kann. Dies ist vorliegend aber nicht der Fall . So ist aufgrund der Akten nicht ersichtlich, dass der Beschwerdeführer nach seiner erneuten Einreise in die Schweiz am 15. August 2024 einer beitragspflichtigen Erwerbstätigkeit nachgegangen ist; dies wird im Übrigen auch im Rahmen der Beschwerde nicht behauptet. Auch war er vor der Arbeitsaufnahme in D.___ nicht erwerbstätig. Damit ist aber die bis zum 31. März 2024 ausgeübte Tätigkeit in B.___ für die Berechnung der Beitragszeit in der Rahmenfrist vom 26. September 2022 bis 2</w:t>
      </w:r>
    </w:p>
    <w:p>
      <w:r>
        <w:rPr>
          <w:b/>
        </w:rPr>
        <w:t>E. 5</w:t>
      </w:r>
    </w:p>
    <w:p>
      <w:r>
        <w:t>. September 2024 nicht zu berücksichtigen. 3.3</w:t>
      </w:r>
    </w:p>
    <w:p>
      <w:r>
        <w:t>Bezüglich der Befreiung von der Erfüllung der Beitragszeit ist anzumerken, dass aufgrund der Studienbestätigung der University of</w:t>
      </w:r>
    </w:p>
    <w:p>
      <w:r>
        <w:t>Z.___ von einer Studienzeit vom 25. September 2023 bis 12. September 2024 auszugehen ist (Urk. 10/63); dies wurde auch im Rahmen der Beschwerde nicht fundiert in Zweifel gezogen. Insofern mangelt es bereits an einem Befreiungsgrund für die Dauer von mehr als 12 Monaten. Weiter ist aufgrund der Einreise des Beschwerdeführers in die Schweiz am 1. Dezember 20 20 (im Alter von rund 19 Jahren , Urk. 10/69 ) aufgrund der Akten auch davon auszugehen, dass der Beschwerdeführer nicht seit zehn Jahren in der Schweiz gewohnt hat. 3.4</w:t>
      </w:r>
    </w:p>
    <w:p>
      <w:r>
        <w:t>Zusammenfassend sind die Ausführungen der Beschwerdegegnerin nicht zu beanstanden, was in Abweisung der Beschwerde zur Bestätigung des angefoch tenen Einspracheentscheids führt.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