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AL.2024.00106 vom 6. Juni 2025</w:t>
      </w:r>
    </w:p>
    <w:p>
      <w:r>
        <w:t>ZH Sozialversicherungsgericht, 2025-06-06, DE</w:t>
      </w:r>
    </w:p>
    <w:p>
      <w:r>
        <w:rPr>
          <w:b/>
        </w:rPr>
        <w:t xml:space="preserve">Quelle: </w:t>
      </w:r>
      <w:r>
        <w:t>https://mcp.opencaselaw.ch/entscheid/zh_sozialversicherungsgericht_AL.2024.00106</w:t>
      </w:r>
    </w:p>
    <w:p>
      <w:r>
        <w:t>FR: ZH_SOZIALVERSICHERUNGSGERICHT AL.2024.00106 du 6 juin 2025</w:t>
      </w:r>
    </w:p>
    <w:p>
      <w:r>
        <w:t>IT: ZH_SOZIALVERSICHERUNGSGERICHT AL.2024.00106 del 6 giugno 2025</w:t>
      </w:r>
    </w:p>
    <w:p>
      <w:pPr>
        <w:pStyle w:val="Heading2"/>
      </w:pPr>
      <w:r>
        <w:t>Erwägungen</w:t>
      </w:r>
    </w:p>
    <w:p>
      <w:r>
        <w:rPr>
          <w:b/>
        </w:rPr>
        <w:t>E. 1</w:t>
      </w:r>
    </w:p>
    <w:p>
      <w:r>
        <w:t>Mit Urteil vom 2 4. Januar 2024 eröffnete</w:t>
      </w:r>
    </w:p>
    <w:p>
      <w:r>
        <w:t>das Konkursgericht des Bezirksgerichts Hinwil über die Y.___ AG den Konkurs ( www.zefix.ch ). Am 13. März 2024 bean tragte X.___</w:t>
      </w:r>
    </w:p>
    <w:p>
      <w:r>
        <w:t>bei der Arbeitslosenkasse des Kantons Zürich (ALK ZH) Insolvenzentschädigung in Höhe von Fr. 7'937.90 betreffend ihre Tätigkeit für die Y.___ AG in den Monaten Oktober bis Dezember 2023 ( Urk. 6/39-40). Mit Verfügung vom 1 9. März 2024 verneinte die ALK ZH einen Anspruch von X.___</w:t>
      </w:r>
    </w:p>
    <w:p>
      <w:r>
        <w:t>auf eine Insolvenzentschädigung ( Urk. 6/25-26). Die von X.___</w:t>
      </w:r>
    </w:p>
    <w:p>
      <w:r>
        <w:t>erhobene Einsprache ( Urk. 6/9) wies die ALK ZH mit Einspracheentscheid vom 6.</w:t>
      </w:r>
    </w:p>
    <w:p>
      <w:r>
        <w:t>Mai 2024 ab ( Urk. 2).</w:t>
      </w:r>
    </w:p>
    <w:p>
      <w:r>
        <w:rPr>
          <w:b/>
        </w:rPr>
        <w:t>E. 2</w:t>
      </w:r>
    </w:p>
    <w:p>
      <w:r>
        <w:t>Dagegen erhob X.___</w:t>
      </w:r>
    </w:p>
    <w:p>
      <w:r>
        <w:t>mit Eingabe vom 1 2. Mai 2024 bei der ALK ZH Beschwerde ( Urk. 1). Die ALK ZH stellte die Beschwerde am 3. Juni 2024 dem hiesigen Gericht zu ( Urk. 3). Nachdem das Gericht die Beschwerdegegnerin aufgefordert hatte, zur Beschwerde Stellung zu nehmen ( Urk. 4), beantragte diese mit Beschwerdeantwort vom 1 0. Juli 2024 die Abweisung der Beschwerde (Urk.</w:t>
      </w:r>
    </w:p>
    <w:p>
      <w:r>
        <w:t>5), was der Beschwerdeführerin mit Verfügung vom 1 7. Juli 2024 angezeigt wurde ( Urk. 8).</w:t>
      </w:r>
    </w:p>
    <w:p>
      <w:r>
        <w:rPr>
          <w:b/>
        </w:rPr>
        <w:t>E. 2.1</w:t>
      </w:r>
    </w:p>
    <w:p>
      <w:r>
        <w:t>Die Beschwerdegegnerin erklärte zur Begründung ihres Entscheids ( Urk. 2), es sei aktenkundig, dass die Besch werdeführerin aufgrund des «Dienstleistungsvertra ges zur Bereitstellung Heimarztleistung» für die Y.___ AG tätig gewesen sei. Die Beschwerdeführerin sei somit keine beitragspflichtige Arbeitnehmerin der Y.___ AG gewesen und habe daher keinen Anspruch auf Insolvenzentschädigung. Allfällige Forderungen gegenüber der Y.___ AG hätte die Beschwerdeführerin im Konkursverfahren eingeben müssen.</w:t>
      </w:r>
    </w:p>
    <w:p>
      <w:r>
        <w:rPr>
          <w:b/>
        </w:rPr>
        <w:t>E. 2.2</w:t>
      </w:r>
    </w:p>
    <w:p>
      <w:r>
        <w:t>Die Beschwerdeführerin wendete dagegen ein ( Urk. 1), sie sei bis am</w:t>
      </w:r>
    </w:p>
    <w:p>
      <w:r>
        <w:rPr>
          <w:b/>
        </w:rPr>
        <w:t>E. 3</w:t>
      </w:r>
    </w:p>
    <w:p>
      <w:r>
        <w:t>2</w:t>
      </w:r>
    </w:p>
    <w:p>
      <w:r>
        <w:t>Die Insolvenzentschädigung ist eine Lohnausfallversicherung bei Zahlungsunfä higkeit des Arbeitgebers. Sie setzt eine Lohnforderung der versicherten Person gegenüber dem insolventen Arbeitgeber voraus. Unter Lohnforderung im Sinne von Art. 52 Abs. 1 AVIG ist grundsätzlich der massgebende Lohn gemäss Art. 5 Abs. 2 des Bundesgesetzes über die Alters- und Hinterlassenenversicherung (AHVG) zu verstehen, einschliesslich der geschuldeten Zulagen. Als zweiseitiger Vertrag verpflichtet der Arbeitsvertrag den Arbeitnehmer oder die Arbeitnehme rin zur Leistung von Arbeit und den Arbeitgeber zur Entrichtung eines Lohnes</w:t>
      </w:r>
    </w:p>
    <w:p>
      <w:r>
        <w:t>(BGE 132 V 82 E. 3.1 mit Hinweis).</w:t>
      </w:r>
    </w:p>
    <w:p>
      <w:r>
        <w:rPr>
          <w:b/>
        </w:rPr>
        <w:t>E. 3.1</w:t>
      </w:r>
    </w:p>
    <w:p>
      <w:r>
        <w:t>Gemäss Art. 51 Abs. 1 des Bundesgesetzes über die obligatorische Arbeitslosen versicherung und die Insolvenzentschädigung (AVIG) haben beitragspflichtige Arbeitnehmerinnen und Arbeitnehmer von Arbeitgebern, die in der Schweiz der Zwangsvollstreckung unterliegen oder in der Schweiz Arbeitnehmerinnen und Arbeitnehmer beschäftigen, Anspruch auf Insolvenzentschädigung, wenn: a)</w:t>
      </w:r>
    </w:p>
    <w:p>
      <w:r>
        <w:t>gegen ihren Arbeitgeber der Konkurs eröffnet wird und ihnen in diesem Zeitpunkt Lohnforderungen zustehen oder b)</w:t>
      </w:r>
    </w:p>
    <w:p>
      <w:r>
        <w:t>der Konkurs nur deswegen nicht eröffnet wird, weil sich infolge offen sichtlicher Überschuldung des Arbeitgebers kein Gläubiger bereit findet , die Kosten vorzuschiessen, oder c)</w:t>
      </w:r>
    </w:p>
    <w:p>
      <w:r>
        <w:t>sie gegen ihren Arbeitgeber für Lohnforderungen das Pfändungsbegehren gestellt haben</w:t>
      </w:r>
    </w:p>
    <w:p>
      <w:r>
        <w:t>oder bei Bewilligung der Nachlassstundung oder richterlichem Konkursaufschub (Art. 58 AVIG). Die richterlich angeordnete, nach den Bestimmungen des Konkursverfahrens durchzuführende Auflösung einer Gesellschaft nach Art. 731b Abs. 1 Ziff. 3 des Bundesgesetzes betreffend die Ergänzung des Schweizerischen Zivilgesetzbuches (Fünfter Teil: Obligationenrecht, OR) wird im Rahmen von Art. 51 Abs. 1 lit . a AVIG der Konkurseröffnung gleichgestellt (BGE 141 V 372 E. 5.2).</w:t>
      </w:r>
    </w:p>
    <w:p>
      <w:r>
        <w:t>Die Aufzählung der Insolvenztatbestände in Art. 51 Abs. 1 und Art. 58 AVIG ist abschliessend (BGE 141 V 372 E. 5.1, 131 V 196 E. 4.1.2 ).</w:t>
      </w:r>
    </w:p>
    <w:p>
      <w:r>
        <w:rPr>
          <w:b/>
        </w:rPr>
        <w:t>E.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EinzelrichterDer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