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AL.2024.00070 vom 11. Juni 2024</w:t>
      </w:r>
    </w:p>
    <w:p>
      <w:r>
        <w:t>ZH Sozialversicherungsgericht, 2024-06-11, DE</w:t>
      </w:r>
    </w:p>
    <w:p>
      <w:r>
        <w:rPr>
          <w:b/>
        </w:rPr>
        <w:t xml:space="preserve">Quelle: </w:t>
      </w:r>
      <w:r>
        <w:t>https://mcp.opencaselaw.ch/entscheid/zh_sozialversicherungsgericht_AL.2024.00070</w:t>
      </w:r>
    </w:p>
    <w:p>
      <w:r>
        <w:t>FR: ZH_SOZIALVERSICHERUNGSGERICHT AL.2024.00070 du 11 juin 2024</w:t>
      </w:r>
    </w:p>
    <w:p>
      <w:r>
        <w:t>IT: ZH_SOZIALVERSICHERUNGSGERICHT AL.2024.00070 del 11 giugno 2024</w:t>
      </w:r>
    </w:p>
    <w:p>
      <w:pPr>
        <w:pStyle w:val="Heading2"/>
      </w:pPr>
      <w:r>
        <w:t>Erwägungen</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 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145 V 200 E. 4.2 mit weiteren Hinweisen).</w:t>
      </w:r>
    </w:p>
    <w:p>
      <w:r>
        <w:t>Damit eine versicherte Person in arbeitgeberähnlicher Stellung oder deren mit 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w:t>
      </w:r>
    </w:p>
    <w:p>
      <w:r>
        <w:rPr>
          <w:b/>
        </w:rPr>
        <w:t>E. 1.2</w:t>
      </w:r>
    </w:p>
    <w:p>
      <w:r>
        <w:t>Zu beachten gilt es dabei gemäss höchstrichterlicher Rechtsprechung weiter, dass</w:t>
      </w:r>
    </w:p>
    <w:p>
      <w:r>
        <w:t>von der Anspruchsberechtigung im Sinne von Art. 31 Abs. 3 lit . c AVIG nur ar beitgeberähnliche Personen selbst und deren im Betrieb mitarbeitende Ehegat ten, nicht jedoch andere Verwandte ausgeschlossen sind . Ein Vater-Sohn-Verhältnis wird daher von dieser Regelung nicht erfasst (Urteil des Eidgenössi schen Versi cherungsgerichts C 146/06 vom 28. November 2006 E. 2.2 mit wei teren Hinwei sen). Das Aus scheiden einer arbeitgeberähnlichen Person aus der Firma m u ss end gültig sein, was erst mit der Löschung des Eintrags im Handels r egister erkennbar ist (Urteil des Bundesgerichts 8C_821/2013 vom 31. Januar 2014 E. 3 .2 mit wei teren Hinweisen ).</w:t>
      </w:r>
    </w:p>
    <w:p>
      <w:r>
        <w:rPr>
          <w:b/>
        </w:rPr>
        <w:t>E. 2</w:t>
      </w:r>
    </w:p>
    <w:p>
      <w:r>
        <w:t>, vgl. auch Urk. 7).</w:t>
      </w:r>
    </w:p>
    <w:p>
      <w:r>
        <w:rPr>
          <w:b/>
        </w:rPr>
        <w:t>E. 2.1</w:t>
      </w:r>
    </w:p>
    <w:p>
      <w:r>
        <w:t>Die Beschwerdegegnerin begründete den angefochtenen Einspracheentscheid damit, dass die gesamten Umstände nur den Schluss zulassen würden, dass dem Beschwerdeführer weiterhin die Funktion eines Geschäftsführers der Y.___ GmbH zukommen und er weiterhin die Geschicke des Betriebs massgeblich beeinflussen könne, womit ihm weiterhin eine arbeitgeberähnliche Stellung zukomme ( Urk.</w:t>
      </w:r>
    </w:p>
    <w:p>
      <w:r>
        <w:rPr>
          <w:b/>
        </w:rPr>
        <w:t>E. 2.2</w:t>
      </w:r>
    </w:p>
    <w:p>
      <w:r>
        <w:t>Demgegenüber machte die Vertreterin des Beschwerdeführers im Wesentlichen geltend, dass ihr Mandant seit der Übertragung der Stammanteile keinerlei Ein fluss mehr auf die Gesellschaft habe. Aufgrund der seit 1. Januar 2024 geltenden neuen Regelungen für Versicherungsvermittler sei es dem Beschwerdeführer unmöglich geworden, die bisherige Tätigkeit in der GmbH weiterzuführen. Die notwendige Aus- beziehungsweise Weiterbildung habe er aufgrund mangelnder Deutschkenntnisse nicht bestanden. Geplant sei, dass sein Sohn die entsprechende Ausbildung nach Abschluss der Ausbildung in Angriff nehme. Für die Stamman teile habe der Sohn innerhalb von zwei Jahren einen Betrag von Fr. 50'000.-- zu bezahlen ( Urk. 1 S.</w:t>
      </w:r>
    </w:p>
    <w:p>
      <w:r>
        <w:rPr>
          <w:b/>
        </w:rPr>
        <w:t>E. 3</w:t>
      </w:r>
    </w:p>
    <w:p>
      <w:r>
        <w:t>lit . c AVIG zugerechnet werden respektive wird ein Vater-Sohn-Verhältnis von dieser Bestimmung nicht erfasst . Die gesetzliche Regelung ist diesbezüglich eindeutig.</w:t>
      </w:r>
    </w:p>
    <w:p>
      <w:r>
        <w:rPr>
          <w:b/>
        </w:rPr>
        <w:t>E. 3.1</w:t>
      </w:r>
    </w:p>
    <w:p>
      <w:r>
        <w:t>Unter Hinweis auf die einschlägige Rechtsprechung zu Art. 31 Abs. 3 lit . c AVIG (vgl. E. 1.2) ist anzumerken, dass der Kreis der von der Arbeitslosenentschädigung ausgeschlossenen Personen im Sinne dieser Bestimmung nur den Beschwerde führer und seine Ehefrau umfasst, jedoch nicht andere Verwandte . Der Sohn des Beschwerdeführers, welcher seit dem 3. November 2023 als alleiniger Gesell schafter und Geschäftsführer der Y.___ GmbH im Handelsregister eingetragen ist, kann dementsprechend nicht dem Personenkreis gemäss Art. 31 Abs.</w:t>
      </w:r>
    </w:p>
    <w:p>
      <w:r>
        <w:rPr>
          <w:b/>
        </w:rPr>
        <w:t>E. 3.2</w:t>
      </w:r>
    </w:p>
    <w:p>
      <w:r>
        <w:t>Was den Beschwerdeführer selbst betrifft, ist er seit dem 3. November 2023 weder Gesellschafter der fraglichen GmbH, noch finanziell am Betrieb beteiligt. Dabei ist nicht entscheidend, ob die Stammanteile verkauft worden oder kost e nlos über lassen worden sind. Weiter ist auch nicht ersichtlich, dass der Beschwerdeführer</w:t>
      </w:r>
    </w:p>
    <w:p>
      <w:r>
        <w:t>als Mitglied eines obersten betrieblichen Entscheidungsgremiums die Entschei dungen des Arbeitgebers weiterhin bestimmen oder massgeblich beeinflussen kann. Da er überdies auch sonst in keiner Form für die GmbH vertraglich tätig ist, fällt auch die Annahme einer faktischen Einflussnahme auf den Geschäfts gang ausser Betracht. Weiter kann dem Beschwerdeführer nicht vorgeworfen werden, dass er die GmbH nicht in anderer Form respektive zu anderen Zwecken als der Versicherungsvermittlung fortgeführt hat (vgl. etwa Urk.</w:t>
      </w:r>
    </w:p>
    <w:p>
      <w:r>
        <w:rPr>
          <w:b/>
        </w:rPr>
        <w:t>E. 3.3</w:t>
      </w:r>
    </w:p>
    <w:p>
      <w:r>
        <w:t>Insgesamt ist in Gutheissung der Beschwerde festzustellen, dass der Beschwerde führer für die Zeit ab 1. Januar 2024 grundsätzlich Anspruch auf Arbeitslosenent schädigung hat, sofern die weiteren Anspruchsvoraussetzungen erfüllt sind. 4.</w:t>
      </w:r>
    </w:p>
    <w:p>
      <w:r>
        <w:t>Ausgangsgemäss ist die Beschwerdegegnerin zu verpflichten, dem Beschwerde führer eine angemessene Partei entschädigung zu bezahlen, welche in Anwen dung von Art. 61 lit . g des Bundesgesetz es über den Allgemeinen Teil des Sozi alversicherungsrechts (ATSG) , namentlich unter Berücksichtigung der Be deu tung der Streitsache und der Schwierigkeit des Prozesses auf Fr.</w:t>
      </w:r>
    </w:p>
    <w:p>
      <w:r>
        <w:rPr>
          <w:b/>
        </w:rPr>
        <w:t>E. 7</w:t>
      </w:r>
    </w:p>
    <w:p>
      <w:r>
        <w:t>S. 2), dies steht allein in seinem unternehmerischen Ermessen.</w:t>
      </w:r>
    </w:p>
    <w:p>
      <w:r>
        <w:t>Die Versicherungsvermittlung als ungebundener Vermittler ist ihm seit 1. Januar 2024 zufolge der von ihm nicht erfüllten erhöhten aufsichtsrechtlichen Anforderungen unbestritten nicht mehr möglich (vgl. dazu: Art. 40 ff. des Bundesgesetzes betreffend die Aufsicht über Versicherungsunternehmen, VAG). Auch die Tatsache, dass der Sohn des Beschwerdeführers die GmbH allenfalls erst zu einem späteren Zeitpunkt aktiv weiterführt, hat auf die Stellung des Beschwerdeführers selbst keinen Einfluss. Dass die GmbH ohne Beteiligung des Sohnes des Beschwerdeführers weiterhin operativ tätig ist, wird dabei nicht behauptet und lässt sich durch die Akten auch nicht belegen.</w:t>
      </w:r>
    </w:p>
    <w:p>
      <w:r>
        <w:t>Allein die Vermutung, dass der Beschwerdeführer als Vater seines - im Ü brigen volljährigen - Sohnes auf diesen einen gewissen Einfluss ausüben könnte, ist nicht ausreichend für die Begründung einer arbeitgeberähnlichen Stellung, da andernfalls der gesetzliche Wortlaut überstrapaziert würde.</w:t>
      </w:r>
    </w:p>
    <w:p>
      <w:r>
        <w:rPr>
          <w:b/>
        </w:rPr>
        <w:t>E. 8</w:t>
      </w:r>
    </w:p>
    <w:p>
      <w:r>
        <w:t>00.-- (inklusive Bar auslagen und Mehrwertsteuer) festzusetzen ist. Das Gericht erkennt: 1.</w:t>
      </w:r>
    </w:p>
    <w:p>
      <w:r>
        <w:t>In Gutheissung der Beschwerde wird der angefochtene Einspracheentscheid vom 1 1. März 2024 aufgehoben und es wird festgestellt, dass der Beschwerdeführer ab 1. Januar 2024 Anspruch auf Arbeitslosenentschädigung hat, sofern die übrigen Anspruchsvoraussetzungen erfüllt sind. 2.</w:t>
      </w:r>
    </w:p>
    <w:p>
      <w:r>
        <w:t>Das Verfahren ist kostenlos. 3.</w:t>
      </w:r>
    </w:p>
    <w:p>
      <w:r>
        <w:t>Die Beschwerdegegnerin wird verpflichtet, dem Beschwerdeführer eine Parteientschä digung von Fr. 800 .-- ( inklusive Barauslagen und Mehrwertsteuer ) zu bezahlen. 4.</w:t>
      </w:r>
    </w:p>
    <w:p>
      <w:r>
        <w:t>Zustellung gegen Empfangsschein an: - Protekta Rechtsschutz-Versicherung AG - Unia Arbeitslosenkasse - seco - Direktion für Arbeit - Amt für Arbeit (AFA)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