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AL.2024.00027 vom 19. Juni 2024</w:t>
      </w:r>
    </w:p>
    <w:p>
      <w:r>
        <w:t>ZH Sozialversicherungsgericht, 2024-06-19, DE</w:t>
      </w:r>
    </w:p>
    <w:p>
      <w:r>
        <w:rPr>
          <w:b/>
        </w:rPr>
        <w:t xml:space="preserve">Quelle: </w:t>
      </w:r>
      <w:r>
        <w:t>https://mcp.opencaselaw.ch/entscheid/zh_sozialversicherungsgericht_AL.2024.00027</w:t>
      </w:r>
    </w:p>
    <w:p>
      <w:r>
        <w:t>FR: ZH_SOZIALVERSICHERUNGSGERICHT AL.2024.00027 du 19 juin 2024</w:t>
      </w:r>
    </w:p>
    <w:p>
      <w:r>
        <w:t>IT: ZH_SOZIALVERSICHERUNGSGERICHT AL.2024.00027 del 19 giugno 2024</w:t>
      </w:r>
    </w:p>
    <w:p>
      <w:pPr>
        <w:pStyle w:val="Heading2"/>
      </w:pPr>
      <w:r>
        <w:t>Erwägungen</w:t>
      </w:r>
    </w:p>
    <w:p>
      <w:r>
        <w:rPr>
          <w:b/>
        </w:rPr>
        <w:t>E. 1</w:t>
      </w:r>
    </w:p>
    <w:p>
      <w:r>
        <w:t>Der 1961 geborene X.___ war seit dem 1. Juli 2015 für die Y.___ AG als Berater und Verwaltungsratsmitglied tätig , wobei er</w:t>
      </w:r>
    </w:p>
    <w:p>
      <w:r>
        <w:t>im Handels register als Mitglied des Verwaltungsrates der Y.___ AG , ab 1 1. Oktober 2018 mit Kollektivunterschrift zu zweien, eingetragen war ( Urk. 13 ). Am 3. September 2023 stellte der Versicherte bei der Arbeitslosenkasse des Kantons Zürich Antrag auf Insolvenzentschädigung für im Zeitraum vom 1. Februar bis 9. Mai 2022 sowie 1. Januar bis 1 4. August 2023 nicht erhaltenen Lohn in der Höhe von ins gesamt Fr. 182'800.--, da über die Y.___ AG am 1 4. August 2023 der Konkurs eröffnet worden sei ( Urk. 10/ 23/ 100, Urk. 10/ 24/ 101-102) . Mit Verfügung vom 1 8. September 2023 verneinte die Arbeitslosenkasse einen Anspruch auf Insol venzentschädigung ( Urk. 10/9/55-56). Die vom Versicherten dagegen am 1 9. September 2023 erhobene Einsprache ( Urk. 10/8/54) wies die Arbeitslosen kasse mit Einspracheentscheid vom 1 5. Januar 2024 ab ( Urk. 10/2/31-33 =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 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1.2</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(Art. 51 Abs. 2 AVIG).</w:t>
      </w:r>
    </w:p>
    <w:p>
      <w:r>
        <w:t>Die zu Art. 31 Abs. 3 lit . c AVIG ergangene Rechtsprechung bezüglich derjenigen Personen, welche als Mitglieder eines obersten betrieblichen Entscheidungsgremiums oder Ehegatten eines sol chen Mitglieds vom Kurzarbeitsentschädigungsanspruch ausgeschlossen sind, ist im Rahmen von Art. 51 Abs. 2 AVIG gleichermassen anwendbar (Urteil des Bun desgerichts 8C_34/2021 vom 8. Juli 2021 E. 3.2 mit Hinweisen).</w:t>
      </w:r>
    </w:p>
    <w:p>
      <w:r>
        <w:rPr>
          <w:b/>
        </w:rPr>
        <w:t>E. 2</w:t>
      </w:r>
    </w:p>
    <w:p>
      <w:r>
        <w:t>AVIG darauf ausgerichtet, Versicherte, welche das System missbrauchen wollten, vom Anspruch auf Insolvenzentschädigung auszuschliessen. Ihm könne dies jedoch nicht vorgeworfen werden, da er beziehungsweise der gesamte Verwaltungsrat für die zum Konkurs führenden Krisen (Pandemie, Ukrainekrieg, Krise im Silicon Valley) nicht verantwortlich gemacht werden könne beziehungsweise diese nicht habe voraussehen können ( Urk. 1 S. 2 f.).</w:t>
      </w:r>
    </w:p>
    <w:p>
      <w:r>
        <w:rPr>
          <w:b/>
        </w:rPr>
        <w:t>E. 2.1</w:t>
      </w:r>
    </w:p>
    <w:p>
      <w:r>
        <w:t>Die Beschwerdegegnerin erwog im angefochtenen Entscheid, der Beschwerdefüh rer sei seit dem 1 7. September 2014 als Mitglied des Verwaltungsrats der Arbeit geberin im Handelsregister eingetragen, seit dem 1 1. Oktober 2018 mit Kollek tivunterschrift zu zweien. Der Beschwerdeführer gehöre damit zum Personenkreis, der gemäss Art. 51 Abs.</w:t>
      </w:r>
    </w:p>
    <w:p>
      <w:r>
        <w:rPr>
          <w:b/>
        </w:rPr>
        <w:t>E. 2.2</w:t>
      </w:r>
    </w:p>
    <w:p>
      <w:r>
        <w:t>Der Beschwerdeführer brachte dagegen im Wesentlichen vor, es müssten die kon kreten Umstände des vorliegenden Einzelfalles geprüft werden. Einen generellen Ausschluss vom Anspruch auf Insolvenzentschädigung für Verwaltungsräte sehe das Gesetz nicht vor. Vielmehr werde vorausgesetzt, dass die fragliche Person die Entscheidungen des Arbeitgebers hätte bestimmen oder massgeblich beeinflussen können. Dies sei bei ihm nicht der Fall gewesen. Zudem sei Art. 51 Abs.</w:t>
      </w:r>
    </w:p>
    <w:p>
      <w:r>
        <w:rPr>
          <w:b/>
        </w:rPr>
        <w:t>E. 3.1</w:t>
      </w:r>
    </w:p>
    <w:p>
      <w:r>
        <w:t>Die Frage, ob Arbeitnehmende einem obersten betrieblichen Entscheidungsgre mium angehören und ob sie in dieser Eigenschaft massgeblich Einfluss auf die Unternehmensentscheidungen nehmen können, ist in aller Regel aufgrund der internen betrieblichen Struktur zu beantworten. Keine Prüfung des Einzelfalls ist erforderlich, wenn sich die massgebliche Entscheidungsbefugnis bereits aus dem Gesetz selbst (zwingend) ergibt. Dies gilt insbesondere für die (mitarbeitenden) Verwaltungsräte einer AG, für welche das Gesetz in der Eigenschaft als Verwal tungsrat in Art. 716-716b OR verschiedene, nicht übertrag- und entziehbare, die Entscheidungen des Arbeitgebers bestimmende oder massgeblich beeinflussende Aufgaben vorschreibt ( BGE 145 V 200 E. 4.2 mit weiteren Hinweisen , BGE 123 V 234 E. 7a ,</w:t>
      </w:r>
    </w:p>
    <w:p>
      <w:r>
        <w:t>BGE 122 V 270 E. 3 ).</w:t>
      </w:r>
    </w:p>
    <w:p>
      <w:r>
        <w:rPr>
          <w:b/>
        </w:rPr>
        <w:t>E. 3.2</w:t>
      </w:r>
    </w:p>
    <w:p>
      <w:r>
        <w:t>In Anwendung der bundesgerichtlichen Rechtsprechung, die - entgegen den Dar legungen in der Beschwerde - mit dem Wortlaut und dem Zweck des Art. 51 Abs. 2 AVIG in Einklang steht (vgl. Botschaft des Bundesrates zur zweiten Teil revision des AVIG vom 2 9. November 1993; BBL 1994 I 361 f.; Thomas Nussbaumer, Arbeitslosenversicherung, in: Soziale Sicherheit, SBVR Bd. XIV, 3. Aufl. 20 16 , S. 2 444 f.</w:t>
      </w:r>
    </w:p>
    <w:p>
      <w:r>
        <w:t>Rz . 59</w:t>
      </w:r>
    </w:p>
    <w:p>
      <w:r>
        <w:rPr>
          <w:b/>
        </w:rPr>
        <w:t>E. 4</w:t>
      </w:r>
    </w:p>
    <w:p>
      <w:r>
        <w:t>Zustellung gegen Empfangsschein an: - X.___ - Arbeitslosenkasse des Kantons Zürich - seco - Direktion für Arbeit - Amt für Arbeit (AFA)</w:t>
      </w:r>
    </w:p>
    <w:p>
      <w:r>
        <w:rPr>
          <w:b/>
        </w:rPr>
        <w:t>E. 4.1</w:t>
      </w:r>
    </w:p>
    <w:p>
      <w:r>
        <w:t>Das Verfahren ist kostenlos.</w:t>
      </w:r>
    </w:p>
    <w:p>
      <w:r>
        <w:rPr>
          <w:b/>
        </w:rPr>
        <w:t>E. 4.2</w:t>
      </w:r>
    </w:p>
    <w:p>
      <w:r>
        <w:t>Bei diesem Ausgang des Verfahrens hat der Beschwerdeführer - entgegen seinem Antrag ( Urk. 1 S. 1) - keinen Anspruch auf eine Parteientschädigung ( § 34 Abs. 1 des Gesetzes über das Sozialversicherungsgericht; GSVGer ) und es liegen auch keine Gründe vor, welche für die ausnahmsweise Zusprache einer Parteientschä digung trotz Unterliegens sprechen (vgl. dazu Kieser, ATSG-Kommentar, 4. Aufl. 2020, N. 226 zu Art. 61 ATSG). Das Gericht erkennt: 1.</w:t>
      </w:r>
    </w:p>
    <w:p>
      <w:r>
        <w:t>Die Beschwerde wird abgewiesen. 2.</w:t>
      </w:r>
    </w:p>
    <w:p>
      <w:r>
        <w:t>Das Verfahren ist kostenlos. 3.</w:t>
      </w:r>
    </w:p>
    <w:p>
      <w:r>
        <w:t>Dem Beschwerdeführer wird keine P artei entschädigung zugesprochen.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