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AL.2022.00252 vom 20. März 2023</w:t>
      </w:r>
    </w:p>
    <w:p>
      <w:r>
        <w:t>ZH Sozialversicherungsgericht, 2023-03-20, DE</w:t>
      </w:r>
    </w:p>
    <w:p>
      <w:r>
        <w:rPr>
          <w:b/>
        </w:rPr>
        <w:t xml:space="preserve">Quelle: </w:t>
      </w:r>
      <w:r>
        <w:t>https://mcp.opencaselaw.ch/entscheid/zh_sozialversicherungsgericht_AL.2022.00252</w:t>
      </w:r>
    </w:p>
    <w:p>
      <w:r>
        <w:t>FR: ZH_SOZIALVERSICHERUNGSGERICHT AL.2022.00252 du 20 mars 2023</w:t>
      </w:r>
    </w:p>
    <w:p>
      <w:r>
        <w:t>IT: ZH_SOZIALVERSICHERUNGSGERICHT AL.2022.00252 del 20 marzo 2023</w:t>
      </w:r>
    </w:p>
    <w:p>
      <w:pPr>
        <w:pStyle w:val="Heading2"/>
      </w:pPr>
      <w:r>
        <w:t>Erwägungen</w:t>
      </w:r>
    </w:p>
    <w:p>
      <w:r>
        <w:rPr>
          <w:b/>
        </w:rPr>
        <w:t>E. 1</w:t>
      </w:r>
    </w:p>
    <w:p>
      <w:r>
        <w:t>Am 4. Januar 2022 (Eingangsdatum) reichte die X.___</w:t>
      </w:r>
    </w:p>
    <w:p>
      <w:r>
        <w:t>beim Amt für Wirtschaft und Arbeit des Kantons Z ü rich (AWA) für die Zeit vom 14. Januar bis 1 3. Juli 2022 für zwei Arbeitnehme nde</w:t>
      </w:r>
    </w:p>
    <w:p>
      <w:r>
        <w:t>eine Voranmeldung von Kurzarbeit aufgrund der behörd lichen Massnahmen infolge d er Covid-19-Pande mie ein , wobei sie den voraussichtlichen prozentualen Arbeitsausfall mit 70 Pro zent bezifferte (Urk. 6/17 ) . D as AWA hatte bereits für die Zeit vom</w:t>
      </w:r>
    </w:p>
    <w:p>
      <w:r>
        <w:rPr>
          <w:b/>
        </w:rPr>
        <w:t>E. 1.1</w:t>
      </w:r>
    </w:p>
    <w:p>
      <w:r>
        <w:t>Gemäss Art. 31 Abs. 1 lit . b und d des Bundesgesetzes über die obligatorische Arbeits losenversicherung und die Insolvenzentschädigung (AVIG) haben Arbeit nehmerinnen und Arbeit nehmer, deren normale Arbeitszeit verkürzt oder deren Arbeit ganz eingestellt ist, Anspruch auf Kurzarbeitsentschädigung, wenn der Arbeitsausfall anrechenbar sowie voraussichtlich vorübergehend ist und erwartet werden darf, dass durch Kurzarbeit die Arbeitsplätze erhalten werden können. Voraussetzung für die Anrechenbarkeit des Arbeitsausfalles ist, dass er auf wirt schaftliche Gründe zurückzuführen und unvermeidbar ist (Art.</w:t>
      </w:r>
    </w:p>
    <w:p>
      <w:r>
        <w:t>32 Abs.</w:t>
      </w:r>
    </w:p>
    <w:p>
      <w:r>
        <w:t>1 lit . a AVIG). Die Rechtsprechung legt den Begriff der wirtschaftlichen Gründe - in Be rücksichtigung des präventiven Charakters der Kurzarbeitsentschädigung - sehr weit aus und versteht darunter sowohl strukturelle als auch konjunkturelle Gründe insgesamt und nicht nur den Rückgang der Nachfrage nach den norma lerweise von einem Betrieb angebotenen Gütern und Dienstleistungen (BGE 128 V 305 E. 3a; Urteile des Bundesgerichts</w:t>
      </w:r>
    </w:p>
    <w:p>
      <w:r>
        <w:t>8C_549/2017 vom 20. Dezember 2017 E. 3.2 und C 279/05 vom 2. November 2006 E. 1, je mit Hinweisen).</w:t>
      </w:r>
    </w:p>
    <w:p>
      <w:r>
        <w:t>Ein auf wirtschaftliche Gründe zurückzuführender und an sich grundsätzlich anrechenbarer Arbeitsausfall gilt jedoch dann nicht als anrechenbar, wenn er branchen-, berufs- oder betriebsüblich ist oder durch saisonale Beschäftigungs schwankungen verursacht wird (Art.</w:t>
      </w:r>
    </w:p>
    <w:p>
      <w:r>
        <w:t>33 Abs.</w:t>
      </w:r>
    </w:p>
    <w:p>
      <w:r>
        <w:t>1 lit . b AVIG). Damit will das Gesetz vor allem regelmässig wiederkehrende Arbeitsausfälle von der Kurzarbeitsent schädigung ausschliessen (BGE 121 V 371 E. 2a, 119 V 357 E. 1a, je mit Hinwei sen). Ebenfalls nicht anrechenbar ist ein Arbeitsausfall, wenn er durch betriebs organisatorische Massnahmen, andere übliche Betriebsunterbrechungen oder durch Umstände bedingt ist, die zum normalen Betriebsrisiko des Arbeitgebers gehören (Art. 33 Abs. 1 lit . a 2. Satzteil AVIG; ARV 2004 Nr. 5 S. 58 E. 2.1).</w:t>
      </w:r>
    </w:p>
    <w:p>
      <w:r>
        <w:rPr>
          <w:b/>
        </w:rPr>
        <w:t>E. 1.2</w:t>
      </w:r>
    </w:p>
    <w:p>
      <w:r>
        <w:t>Gemäss Art. 32 Abs.</w:t>
      </w:r>
    </w:p>
    <w:p>
      <w:r>
        <w:rPr>
          <w:b/>
        </w:rPr>
        <w:t>E. 1.3</w:t>
      </w:r>
    </w:p>
    <w:p>
      <w:r>
        <w:t>Ein Arbeitgeber, der für seine Arbeitnehmer Kurzarbeitsentschädigung geltend machen will, muss dies mindestens zehn Tage vor Beginn der Kurzarbeit voran melden. Der Bundesrat kann für Ausnahmefälle kürzere Voranmeldefristen vor sehen. Die Voranmeldung ist zu erneuern, wenn die Kurzarbeit länger als drei Monate dauert ( Art. 36 Abs. 1 AVIG). In der Voranmeldung muss der Arbeitgeber unter anderem das Ausmass und die voraussichtliche Dauer der Kurzarbeit an ge ben ( Art. 36 Abs. 2 lit . b AVIG) sowie die Notwendigkeit der Kurzarbeit be grün den und anhand der durch den Bundesrat bestimmten Unterlagen glaubhaft machen, dass die Anspruchsvoraussetzungen nach Art. 31 Abs. 1 und Art. 32 Abs. 1 lit . a erfüllt sind. Die kantonale Amtsstelle kann weitere zur Prüfung nötige Unterlagen einverlangen ( Art. 36 Abs.</w:t>
      </w:r>
    </w:p>
    <w:p>
      <w:r>
        <w:rPr>
          <w:b/>
        </w:rPr>
        <w:t>E. 1.4</w:t>
      </w:r>
    </w:p>
    <w:p>
      <w:r>
        <w:t>Art. 17a und Art. 17b (in Kraft bis 31. Dezember 2022) des Bundesgesetzes über die gesetzlichen Grundlagen für Ver ordnungen des Bundesrates zur Bewältigung der Covid-19-Epidemie (Covid-19-Gesetz; SR 818.102) sahen für die Kurzarbeits entschädigung gewisse Ab weichungen vom AVIG vor. Zudem w u rd e der Bundes rat in Art. 17 des Covid-19-Gesetzes ermächtigt, in gewissen - näher genannten - Bereichen abweichende Bestimmungen zu erlassen. Von dieser Befugnis hat er mit dem Erlass der Ver ordnung über Massnahmen im Bereich der Arbeitslosen versicherung im Zusam men hang mit dem Coronavirus (Covid-19-Verordnung Arbeitslosenversicherung; SR 837.033) Gebrauch gemacht.</w:t>
      </w:r>
    </w:p>
    <w:p>
      <w:r>
        <w:t>Gemäss Art. 17b des Covid-19-Gesetzes (in der bis 31. Dezember 2022 geltenden Fassung)</w:t>
      </w:r>
    </w:p>
    <w:p>
      <w:r>
        <w:t>war in Abweichung von Art. 36 Abs. 1 AVIG keine Voranmeldefrist für Kurzarbeit einzuhalten. Sodann war die Voran meldung zu erneuern, wenn die Kurzarbeit länger als sechs Monate dauert.</w:t>
      </w:r>
    </w:p>
    <w:p>
      <w:r>
        <w:rPr>
          <w:b/>
        </w:rPr>
        <w:t>E. 1.5</w:t>
      </w:r>
    </w:p>
    <w:p>
      <w:r>
        <w:t>Wie in der Botschaft vom 1 2. August 2020 zum Co vid-19-Gesetz ( BBl 2020 2068 S. 6563 ff.) in Ziff. 2.3.8 ausgeführt wird, besteht der Sinn und Zweck der Kurz arbeitsentschädigung nicht in der Existenzsicherung des Betriebs beziehungs weise der Deckung von Umsatz- oder Betriebseinbussen, sondern im Erhalt von Arbeitsplätzen durch die Verhinderung von kurzfristig aufgrund des Arbeits rück gangs ausgesprochenen Kündigungen (BGE 147 V 359 E. 4.6.3). Nach den laufend aktualisierten Weisungen des SECO «Sonderregelungen aufgrund der Pandemie» kann eine Pandemie aufgrund des jähen Auftretens, des Ausmasses und der Schwere nicht als normales, vom Arbeitgeber zu tragendes Betriebsrisiko im Sinn von Art. 33 Abs. 1 lit . a AVIG betrachtet werden, selbst wenn unter Umständen jeder Arbeitgeber davon betroffen sein kann. Demnach sind Arbeitsausfälle auf grund rückläufiger Nachfrage nach Gütern und Dienstleistungen, die auf die Pandemie zurückzuführen sind, in Anwendung von Art. 32 Abs. 1 lit . a AVIG an re chenbar (vgl. Urteil des Bundesgerichts 8C_555/2021 vom 2 4. November 2021 E. 3.3.1; vgl. auch Ziff. Rz D4a der Weisung 2022/06 vom 1. April 2022 betreffend Anpassungen der AVIG-Praxen wegen Covid-19, in welcher alle im Zusammen hang mit der Pandemie weiterhin gültigen Sonderregelungen betreffend Kurzar beits entschädigung und Arbeitslosenentschädigung enthalten sind).</w:t>
      </w:r>
    </w:p>
    <w:p>
      <w:r>
        <w:t>Der Arbeit geber muss aber wei terhin glaubhaft darlegen können, dass die in seinem Betrieb zu erwartenden Arbeitsausfälle auf das Auftreten der Pandemie zurückzuführen sind. Der ein fa che Hinweis auf die Pandemie genügt nicht als Begründung ( Ziff.</w:t>
      </w:r>
    </w:p>
    <w:p>
      <w:r>
        <w:rPr>
          <w:b/>
        </w:rPr>
        <w:t>E. 1.6</w:t>
      </w:r>
    </w:p>
    <w:p>
      <w:r>
        <w:t>Nach Art. 53 Abs. 2 ATSG kann der Versicherungsträger auf formell rechts - kräftige Verfügungen, welche nicht Gegenstand materieller richterlicher Überprüfung gebildet haben, zurückkommen, wenn diese zweifellos unrichtig sind, und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Untersuchungsgrundsatzes. Zwei fellose Unrichtigkeit meint dabei, dass kein vernünftiger Zweifel an der (von Beginn weg bestehenden) Unrichtigkeit der Verfügung besteht, also einzig dieser Schluss denkbar ist. Ob dies zutrifft, beurteilt sich nach der bei Erlass der Verfü gung bestehenden Sach- und Rechtslage, einschliesslich der damaligen Rechts praxis. Das Erfordernis ist in der Regel erfüllt, wenn eine Leistungszusprechung aufgrund falscher Rechtsregeln erfolgte oder weil massgebliche Bestimmungen nicht oder unrichtig angewandt wurden (BGE 144 I 103 E. 2.2; Urteil des Bundesgerichts 8C_57/2020 vom 1 8. Juni 2020 E. 4.1, je mit Hinweisen).</w:t>
      </w:r>
    </w:p>
    <w:p>
      <w:r>
        <w:rPr>
          <w:b/>
        </w:rPr>
        <w:t>E. 1.7</w:t>
      </w:r>
    </w:p>
    <w:p>
      <w:r>
        <w:t>1.</w:t>
      </w:r>
    </w:p>
    <w:p>
      <w:r>
        <w:rPr>
          <w:b/>
        </w:rPr>
        <w:t>E. 2</w:t>
      </w:r>
    </w:p>
    <w:p>
      <w:r>
        <w:t>in Kenntnis gesetzt wurde ( Urk. 7 ).</w:t>
      </w:r>
    </w:p>
    <w:p>
      <w:r>
        <w:rPr>
          <w:b/>
        </w:rPr>
        <w:t>E. 2.1</w:t>
      </w:r>
    </w:p>
    <w:p>
      <w:r>
        <w:t>Im angefochtenen Einspracheentscheid vom 2 4. August 2022</w:t>
      </w:r>
    </w:p>
    <w:p>
      <w:r>
        <w:t>(Urk. 2) führte der Be schwer de gegner aus, die Schweizer Wirtschaft habe sich bereits im Laufe des Jahres 2021 weitgehend von den Auswirkungen der Corona-Pandemie erholt und das Bruttoinlandprodukt sei im Jahr 2021 insgesamt kräftig gewachsen. Auch die Stiftung Werbestatistik verzeichnete für das zweite Corona-Pandemiejahr stei gen de Werbeumsätze. Anfang des Jahres 2022 seien weitreichende Öffnungs schritte erfolgt</w:t>
      </w:r>
    </w:p>
    <w:p>
      <w:r>
        <w:t>und ab dem 3. Februar 2022 sei die Kontaktquarantäne sowie ab dem 1 7. Februar 2022 die übrigen Corona-Massnahmen – ausser der Isolation positiv getesteter Personen sowie die Maskenpflicht im öffentlichen Verkehr und in Gesundheitseinrichtungen – aufgehoben worden. A m 1. April 2022 sei die Rückkehr in die normale Lage erfolgt und alle Corona-Massnahmen seien beendet worden. Die Wirtschaft habe sich im ersten Quartal 2022 auch im Kanton Zürich auf einem hohen Niveau stabilisieren können. Es sei daher davon auszugehen, dass die Unternehmen im neuen Jahr ihre Marketingmassnahmen weiter aus bauen könnten. Aufgrund der Impfung und der als ungefährlicher einzustufenden Virusvariante habe die Angst in der Bevölkerung, sich mit dem Virus an zu ste cken, stark abgenommen. Im Event be reich herrsche daher - auch aufgrund des Nachholbedarfs nach Corona - Hoch konjunktur. Es sei damit davon auszugehen, dass im vorliegend relevanten Beur tei lungszeitraum auch entsprechende Aufträge zu vergeben gewesen seien. Zu sam menfassend sei nicht glaubhaft dargelegt, dass der geltend gemachte Ar beits ausfall (weiterhin) auf das Auftreten der Pandemie oder auf andere zu berück sich tigende wirtschaftliche Gründe zurückzuführen sei. Der Arbeitsausfall sei damit nicht mehr als ausserordentlich oder ausser gewöhn lich zu bewerten, son dern dem normalen Betriebsrisiko zuzuordnen und daher nicht anrechenbar.</w:t>
      </w:r>
    </w:p>
    <w:p>
      <w:r>
        <w:rPr>
          <w:b/>
        </w:rPr>
        <w:t>E. 2.2</w:t>
      </w:r>
    </w:p>
    <w:p>
      <w:r>
        <w:t>Demgegenüber machte die Beschwerdeführerin in ihrer Beschwerde vom 23. September 2022 (Urk. 1) zusammengefasst geltend, es sei nicht auf das Wachstum der Gesamtwirtschaft abzustellen , sondern die unterschiedlichen Entwicklungen in den ein zelnen Unternehmen der verschiedenen Branchen zu berücksichtigen. Sie sei als Firma, die im Eventbereich tätig sei, in besonderem Ausmass von der Pan demie betroffen gewesen , ähnlich wie der Kulturbereich. Die rückwirkende Annullierung der Bewilligung für Kurzarbeit stürze sie in grosse finanzielle Pro bleme. Sie sei davon ausgegangen, dass die Arbeitsplätze gesichert seien. Hätte die Bewilligung nicht vorgelegen, hätte sie die Mitarbeitenden bereits im Juni vorsorglich entlassen können , um die Kündigungsfristen einzuhalten . 3.</w:t>
      </w:r>
    </w:p>
    <w:p>
      <w:r>
        <w:rPr>
          <w:b/>
        </w:rPr>
        <w:t>E. 3</w:t>
      </w:r>
    </w:p>
    <w:p>
      <w:r>
        <w:t>AVIG). Hält die kantonale Amtsstelle eine oder mehrere Anspruchsvoraussetzungen für nicht erfüllt, erhebt sie durch Verfügung Einspruch gegen die Auszahlung der Entschädigung ( Art. 36 Abs.</w:t>
      </w:r>
    </w:p>
    <w:p>
      <w:r>
        <w:rPr>
          <w:b/>
        </w:rPr>
        <w:t>E. 3.1</w:t>
      </w:r>
    </w:p>
    <w:p>
      <w:r>
        <w:t>Der Beschwerdegegner begründete den Einspracheentscheid vom 2 4. August 2022 (Urk. 2) allein mit dem Hinweis auf die seiner Ansicht nach nicht gegebenen materiellen Voraussetzungen für den Anspruch auf Kurzarbeitsentschädigung für die Zeit ab dem 1. April 202 2. Dem angefochtenen Einspracheentscheid liegt die Verfügung vom 16. Juni 2022 (Urk. 6/13) zugrunde, mit der der Beschwerde gegner seine Verfügung vom 13. Januar 2022 (Urk. 6/16) wiedererwägungs w ei se aufgehoben hatte. In letzterer Verfügung war seinerzeit das Gesuch der Be schwer deführerin um Ausrichtung von Kurzarbeitsentschädigung für die Zeit vom 1 4. Januar bis 1 3. Juli 2022 bewilligt worden. Weder im angefochtenen Ein spracheentscheid vom 2 4. August 2022 noch in der Verfügung vom 1 6. Juni 2022 legte der Beschwerdegegner dar, weshalb er « wiedererwägungs weise »</w:t>
      </w:r>
    </w:p>
    <w:p>
      <w:r>
        <w:t>auf die Ver fügung vom 13. Januar 2022 z urückkommen durfte.</w:t>
      </w:r>
    </w:p>
    <w:p>
      <w:r>
        <w:t>3. 2</w:t>
      </w:r>
    </w:p>
    <w:p>
      <w:r>
        <w:t>Damit erweist sich der angefochtene Entscheid als unzureichend begründet und</w:t>
      </w:r>
    </w:p>
    <w:p>
      <w:r>
        <w:t>war der Beschwerdeführerin eine sachgerechte Anfechtung nicht möglich. Nach dem auch die Beschwerdeantwort (Urk. 5) dazu keine Ausführungen enthält, fällt eine ausnahmsweise Heilung der Gehörsverletzung nicht in Betracht (vgl. E. 1.7 vorstehend) .</w:t>
      </w:r>
    </w:p>
    <w:p>
      <w:r>
        <w:t>In Aufhebung des angefochtenen Entscheids ist die Sache daher an den Beschwerdegegner zurückzuweisen, damit er einen hinreichend begründeten Einspracheentscheid erlasse. In diesem Sinne ist die Beschwerde gutzuheissen. Das Gericht erkennt: 1.</w:t>
      </w:r>
    </w:p>
    <w:p>
      <w:r>
        <w:t>Die Beschwerde wird in dem Sinne gutgeheissen, dass der angefochtene Einsprache entscheid vom 2 4. August 2022 aufgehoben und die Sache an den Beschwerdegegner zurückgewiesen wird, damit dieser einen hinreichend begründeten Einspracheentscheid erlasse. 2.</w:t>
      </w:r>
    </w:p>
    <w:p>
      <w:r>
        <w:t>Das Verfahren ist kostenlos. 3.</w:t>
      </w:r>
    </w:p>
    <w:p>
      <w:r>
        <w:t>Zustellung gegen Empfangsschein an: - X.___ - Amt für Wirtschaft und Arbeit (AWA) - seco - Direktion für Arbeit - Arbeitslosenkasse Kanton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r>
        <w:rPr>
          <w:b/>
        </w:rPr>
        <w:t>E. 4</w:t>
      </w:r>
    </w:p>
    <w:p>
      <w:r>
        <w:t>Satz 1 AVIG).</w:t>
      </w:r>
    </w:p>
    <w:p>
      <w:r>
        <w:rPr>
          <w:b/>
        </w:rPr>
        <w:t>E. 7</w:t>
      </w:r>
    </w:p>
    <w:p>
      <w:r>
        <w:t>.2</w:t>
      </w:r>
    </w:p>
    <w:p>
      <w:r>
        <w:t>Das Recht, angehört zu werden, ist formeller Natur. Die Verletzung des rechtli chen Gehörs führt ungeachtet der Erfolgsaussichten der Beschwerde in der Sache selbst zur Aufhebung der angefochtenen Verfügung. Es kommt mit anderen Worten nicht darauf an, ob die Anhörung im konkreten Fall für den Ausgang der materi el len Streitentscheidung von Bedeutung ist, das heisst die Behörde zu einer Änderung ihres Entscheides veranlasst wird oder nicht (BGE 132 V 387 E. 5.1; 127 V 431 E. 3d/ aa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