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AL.2022.00050 vom 7. Juni 2022</w:t>
      </w:r>
    </w:p>
    <w:p>
      <w:r>
        <w:t>ZH Sozialversicherungsgericht, 2022-06-07, DE</w:t>
      </w:r>
    </w:p>
    <w:p>
      <w:r>
        <w:rPr>
          <w:b/>
        </w:rPr>
        <w:t xml:space="preserve">Quelle: </w:t>
      </w:r>
      <w:r>
        <w:t>https://mcp.opencaselaw.ch/entscheid/zh_sozialversicherungsgericht_AL.2022.00050</w:t>
      </w:r>
    </w:p>
    <w:p>
      <w:r>
        <w:t>FR: ZH_SOZIALVERSICHERUNGSGERICHT AL.2022.00050 du 7 juin 2022</w:t>
      </w:r>
    </w:p>
    <w:p>
      <w:r>
        <w:t>IT: ZH_SOZIALVERSICHERUNGSGERICHT AL.2022.00050 del 7 giugno 2022</w:t>
      </w:r>
    </w:p>
    <w:p>
      <w:pPr>
        <w:pStyle w:val="Heading2"/>
      </w:pPr>
      <w:r>
        <w:t>Erwägungen</w:t>
      </w:r>
    </w:p>
    <w:p>
      <w:r>
        <w:rPr>
          <w:b/>
        </w:rPr>
        <w:t>E. 1.1</w:t>
      </w:r>
    </w:p>
    <w:p>
      <w:r>
        <w:t>Anspruch auf Kurzarbeitsentschädigung besteht, wenn der Arbeitsausfall anre chenbar sowie voraussichtlich vorübergehend ist und erwartet werden darf, dass durch Kurzarbeit die Arbeitsplätze erhalten werden können (Art.</w:t>
      </w:r>
    </w:p>
    <w:p>
      <w:r>
        <w:t>31 Abs. 1 lit . b und d des Bundesgesetzes über die obligatorische Arbeitslosenversicherung und d ie Insolvenzentschädigung, AVIG ). Voraussetzung für die Anrechenbarkeit des Arbeitsausfalles ist, dass er auf wirtschaftliche Gründe zurückzuführen und unvermeidbar ist (Art.</w:t>
      </w:r>
    </w:p>
    <w:p>
      <w:r>
        <w:t>32 Abs.</w:t>
      </w:r>
    </w:p>
    <w:p>
      <w:r>
        <w:t>1 lit . a AVIG).</w:t>
      </w:r>
    </w:p>
    <w:p>
      <w:r>
        <w:rPr>
          <w:b/>
        </w:rPr>
        <w:t>E. 1.2</w:t>
      </w:r>
    </w:p>
    <w:p>
      <w:r>
        <w:t>) in Abweichung zur gesetzlichen Regelung Anspruch auf Kurzarbeitsent schädigung haben, wobei ein Pauschalbetrag von Fr. 3‘320.-- als massgebender Verdienst für eine Vollzeitstelle festgelegt wurde ( Art. 5). Die Geltungsdauer dieser Massnahme wurde am 9. April 2020 neu auf einen Zeitraum vom 1. März 2020 bis am 3 1. August 2020 festgesetzt (Verordnung des Bundesrates über ergänzende Massnahmen im Zusammenhang mit dem Coronavirus im Bereich der Arbeitslosenversicherung, AS 2020 1201). In der am 2 0. Mai 2020 vom Bundesrat erlassenen Verordnung über Massnahmen im Bereich der Arbeitslosenversicherung im Zusammenhang mit dem Corona virus (AS 2020 1777) wurde Art. 2 der Covid-19-Verordnung Arbeitslosenversi cherung per 1. Juni 2020 wieder aufgehoben.</w:t>
      </w:r>
    </w:p>
    <w:p>
      <w:r>
        <w:rPr>
          <w:b/>
        </w:rPr>
        <w:t>E. 1.3</w:t>
      </w:r>
    </w:p>
    <w:p>
      <w:r>
        <w:t>Der Bundesrat erliess am 2 0. März 2020 gestützt auf Art. 185 Abs.</w:t>
      </w:r>
    </w:p>
    <w:p>
      <w:r>
        <w:rPr>
          <w:b/>
        </w:rPr>
        <w:t>E. 1.4</w:t>
      </w:r>
    </w:p>
    <w:p>
      <w:r>
        <w:t>) . Auf die diesbezüglichen Ausführungen der Beschwerdeführerin ist folg lich nicht weiter einzugehen. 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Rechtsanwalt Mark A. Glavas - Amt für Wirtschaft und Arbeit (AWA) - seco - Direktion für Arbeit - Arbeitslosenkasse des Kantons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Grieder-MartensRämi</w:t>
      </w:r>
    </w:p>
    <w:p>
      <w:r>
        <w:rPr>
          <w:b/>
        </w:rPr>
        <w:t>E. 2</w:t>
      </w:r>
    </w:p>
    <w:p>
      <w:r>
        <w:t>3. März 2020</w:t>
      </w:r>
    </w:p>
    <w:p>
      <w:r>
        <w:t>als Geschäftsführer und Gesell schafter der X.___ GmbH ( Urk.</w:t>
      </w:r>
    </w:p>
    <w:p>
      <w:r>
        <w:rPr>
          <w:b/>
        </w:rPr>
        <w:t>E. 2.1</w:t>
      </w:r>
    </w:p>
    <w:p>
      <w:r>
        <w:t>Der Beschwerdegegner hielt im angefochtenen Entscheid ( Urk. 2) fest, a uf den Formularen zur Abrechnung von Kurzarbeitsentschädigung sei unter anderem darauf hingewiesen worden, dass Personen, die in ihrer Eigenschaft als Gesell schafter, als finanziell am Betrieb Beteiligte oder als Mitglieder eines obersten Entscheidungsgremiums die Entscheidungen des Arbeitgebers bestimmen oder massge blich beeinflussen könnten sowie ihre mitarbeitenden E hegatten h öchs tens - bei einem Arbeitsausfall von 100 Prozent - einen Anspruch auf Leistungen in der Höhe von Fr. 4'150.-- hätten, was einer Kurzarbeitsentschädigung von Fr. 3'320.-- (80 Prozent) entspreche (S. 2 f.) . Y.___ sei als Gesellschafter und Geschäftsführer mit Einzelunterschrift und Z.___ als Gesell schafter und Mitglied der Geschäftsführung mit Einzelunterschrift der Firma X.___ GmbH im Handelsregister eingetragen. Die Zugehörigkeit zu der Per sonengruppe nach Art. 31 Abs. 3 lit . c AVIG sowie der Maximalbetrag von Fr. 3'320.-- hätte ihnen somit bewusst sein müssen. Trotz Hinweis auf den For mularen und Kenntnis der arbeitgeberähnlichen Stellung hätten sie jedoch einen zu hohen Betrag, über d er Maximalentschädigung, beim Verdienstausfall einge tragen. Zudem seien - unabhängig vom Verschulden - zu Unrecht ausgerichtete Leistungen von Gesetzes wegen zurückzufordern und Betriebe allgemein, auch ohne äusseren Anlass gehalten, von der Arbeitslosenkasse abgerechnete Leistun gen sorgfältig zu kontrollieren und sich gegebenenfalls dort zu erkundigen. Beim Empfang der Leistungen für die Monate März bis Mai hätten sie somit leicht erkennen können und sollen, dass Kurzarbeitsentschädigung deutlich über dem möglichen Maximalbetrag entrichtet worden sei und sie hätten zumindest damit rechnen müssen, dass dies zu einem späteren Zeitpunkt zu einer Korrektur und Rückforderung der Leistungen führen könne . Überdies sei d ie Änderung, dass Personen in arbeitgeberähnlicher Stellung ab Juni 2020 keinen Anspruch mehr auf Lei stungen mehr gehabt hätten - wie bei der Mitteilung über die Ausdehnung der Anspruchsberechtigung - via Medienmitteilung durch den Bundesrat kom muniziert worden und die gesetzlichen Bestimmungen beziehungsweise deren Änderungen seien jederzeit publiziert gewesen. Auch auf der Webseite des SECO seien die Voraussetzung en der Kurzarbeitsentschädigung und die Änderungen in diesem Zusammenha ng laufend festgehalten worden . Unter Aufwendung der zumutbaren Aufmerksamkeit hätte er somit ohne weiteres erkenne n können, dass ab Juni 2020 kein Anspruch mehr bestehe</w:t>
      </w:r>
    </w:p>
    <w:p>
      <w:r>
        <w:t>(S. 3). Unter den gegebenen Umständen hätten sie mit einer nachträglichen Rückforderung rechnen müssen und könnten sich nicht auf den guten Glauben berufen. Nachdem die Gutgläubigkeit im erwähnten Sinne nicht gegeben sei, könne die Frage der grossen Härte offenge lassen werden (S. 4 ).</w:t>
      </w:r>
    </w:p>
    <w:p>
      <w:r>
        <w:rPr>
          <w:b/>
        </w:rPr>
        <w:t>E. 2.2</w:t>
      </w:r>
    </w:p>
    <w:p>
      <w:r>
        <w:t>Demgegenüber wandte die Beschwerdeführerin im Wesentlichen ein , für den Besc hwerdegegner sei bekannt gewesen , dass sie über zwei Mitarbeiter verfüge, welche auch im Handelsregister eingetragen seien. Dennoch seien zu hohe bezie hungsweise überhaupt Kurzarbeitsentschädigungen ausgerichtet worden. Der Beschwerdegegner habe trotz fachkundigem Personal jegliche Sorgfaltspflichten unterlassen und die Entschädigung falsch ausgerichtet, obwohl die Sachlage transparent dargestellt worden sei. Es gelte zu berücksichtigen, dass von Seiten des Beschwerdegegners selbst die geringsten Sorgfaltspflichten ausser Acht gelassen worden seien (S. 4 Ziff. 4). Sie habe beim Ausfüllen der Formulare lediglich übersehen, dass bis Mai 2020 für arbeitgeberähnliche Personen ein Maximalbetrag bestanden habe. Dies könne aber bloss als leichte Fahrlässigkeit eingestuft werden. Zumindest für den Zeitraum bis Ende Mai 2020 könne somit keinesfalls von einem grobfahrlässigen Handeln ausgegangen werden, weshalb für den Betrag von Fr. 7'253.85 die Rückforderung zu erlassen sei (S. 4 f. Ziff. 5). Des Weiteren gelte es die Verhältnisse im Zeitraum vom März bis Dezember 2020 zu beachten. Es seien täglich unzählige neue Informationen von Seiten des Bun desrats, des Bundesamts für Gesundheit und weiterer Behörden erfolgt. Bei einem grossen Unternehmen mit einem Rechtsdienst beziehungsweise zumindest einer Personalabteilung könne der Vorwurf der fehlenden zumutbaren Aufmerksamkeit gemacht werden, nicht aber bei einem Zweimannbetrieb (S. 5 Ziff. 6). Wenn es dem fachkundigen Personal des Beschwerdegegners nicht einmal möglich gewe sen sei, klare Sachverhalte korrekt zu handhaben, könne das auch von i hr nicht verlangt werden . Aufgrund der vielen Pressemitteilungen, der sich stets verän dernden Rechtssituation und der korrekten Deklaration der tatsächlichen Situa tion bei der Anmeldung von Kurzarbeit könne ihr höchstens eine leichte Fahrläs sigkeit vorgeworfen werden (S. 5 f. Ziff. 7). Nachdem sowohl die Voraussetzung en des guten Glaubens als auch der grossen Härte gegeben sei en , habe der Beschwer degegner die Rückforderung zu erlassen (S. 6 Ziff. 8-9).</w:t>
      </w:r>
    </w:p>
    <w:p>
      <w:r>
        <w:rPr>
          <w:b/>
        </w:rPr>
        <w:t>E. 2.3</w:t>
      </w:r>
    </w:p>
    <w:p>
      <w:r>
        <w:t>Aufgrund der im Zusammenhang mit Covid-19 erlassenen Verordnungen hatten</w:t>
      </w:r>
    </w:p>
    <w:p>
      <w:r>
        <w:t>Y.___ als im Handelsregister des Kantons Zürich eingetragener Gesell schafter und Geschäftsführer sowie Z.___ als Gesellschafter und Mitglied der Geschäftsführung der X.___ GmbH (vgl. Urk. 3) in Abwei chung der gesetzlichen Regelung von Art. 31 Abs. 3 lit . c AVIG befristet bis Ende Mai 2020 Anspruch auf Kurzarbeitsentschädigung in Höhe eines Pau schalbetra ges (vorstehend E. 1.2-1.3 ).</w:t>
      </w:r>
    </w:p>
    <w:p>
      <w:r>
        <w:t>Die Unrechtmäs sigkeit der für die Monat e März bis Mai 2020 zu viel und für die Monate Juni bis November 2020 fälschlicherweise bezogenen Kurzarbeitsentschädigung ist damit unbestrittenermassen gegeben, wobei</w:t>
      </w:r>
    </w:p>
    <w:p>
      <w:r>
        <w:t>Bestand und Höhe der Rückforderung mit Verfügung vom 3 1. März 2021 bereits rechtskräftig beurteilt wurden ( Urk. 7/27 S. 6-8 = Urk. 7/27 S. 26-28). Zu prüfen bleibt somit lediglich der Erlass der Rückforderung. 3.</w:t>
      </w:r>
    </w:p>
    <w:p>
      <w:r>
        <w:rPr>
          <w:b/>
        </w:rPr>
        <w:t>E. 3</w:t>
      </w:r>
    </w:p>
    <w:p>
      <w:r>
        <w:t>lit . c AVIG aufgeführten Personen (vgl. vorstehend E.</w:t>
      </w:r>
    </w:p>
    <w:p>
      <w:r>
        <w:rPr>
          <w:b/>
        </w:rPr>
        <w:t>E. 3.1</w:t>
      </w:r>
    </w:p>
    <w:p>
      <w:r>
        <w:t>Hinsichtlich des Erlassgesuchs gilt es nun zu prüfen, ob der Beschwerdegegner zu Recht das Vorhandensein des guten Glaubens verneint hat. Diesbezüglich ist fest zuhalten, dass der Bundesrat laufend über die aktuelle Entwicklung der Pandemie sowie die getroffenen und geplanten Massnahmen informierte. An der Medien konferenz vom 2 0. Mai 2020 wies Bundesrat Guy Parmelin insbesondere darauf hin, dass dringliche Massnahmen schrittweise abgebaut und unter anderem Kurz arbeitsentschädigungen für arbeitgeberähnliche Personen per Ende Mai 2020 auslaufen würden (Minute 29.21-29.53 der Medienkonferenz, vgl. https://</w:t>
      </w:r>
    </w:p>
    <w:p>
      <w:r>
        <w:t>www.youtube.com/watch?v=5coWI7_we_I; z uletzt besucht am 3 0. Mai 2022 ). Auch in der Medienmitteilung des SECO vom 2 0. Mai 2020 wurde auf diese Än derung mit den folgenden Worten hingewiesen: «Für Personen in arbeit geberähn licher Stellung sowie mitarbeitende Ehegatten oder eingetragene Partner und Partnerinnen entfällt der ausserordentliche Anspruch auf Kurzarbeit auf Ende Mai. Dies entspricht ungefähr dem Ende der COVID-Massnahmen für Erwerbs ausfälle für direkt oder indirekt betroffene Selbständigerwerbende , die am 1 6. Mai aufgehoben wurden» (vgl. https://www.seco.admin.ch/seco/de/home/</w:t>
      </w:r>
    </w:p>
    <w:p>
      <w:r>
        <w:t>seco / nsb -news/medienmitteilungen-2020.msg-id-79205.html ; z uletzt besucht am 3 0. Mai 2022 ).</w:t>
      </w:r>
    </w:p>
    <w:p>
      <w:r>
        <w:rPr>
          <w:b/>
        </w:rPr>
        <w:t>E. 3.2</w:t>
      </w:r>
    </w:p>
    <w:p>
      <w:r>
        <w:t>Als von der ausserordentlichen Lockerung der Voraussetzungen für Kurz arbeits entschädigung Betroffene konnte von Y.___</w:t>
      </w:r>
    </w:p>
    <w:p>
      <w:r>
        <w:t>als Gesellschafter und Geschäftsführer sowie Z.___ als Gesellschafter und Mitglied der Geschäftsführung der Beschwerdeführerin erwartet werden, dass sie sich aktiv über die jeweils geplanten Schritte des Bundesrates kundig machte n . Dies war ihnen angesichts der breit angelegten Informationspolitik des Bundesrates und der zu Beginn der Pandemie noch gewährleisteten Übersicht über die einzelnen M assnahmen ohne W eiteres mög lich. Dafür spricht im Übrigen auch, dass sowohl die ausserordentliche Ausdehnung der Anspruchsberechtigung auf Personen in arbeitgeberähnlicher Stellung ab 1. März 2020</w:t>
      </w:r>
    </w:p>
    <w:p>
      <w:r>
        <w:t>als auch deren Aufhebung per 1. Juni 2020 über dieselben Informationskanäle kommuniziert w urden (vgl. ins besondere Medienmitteilung des Bundesrats vom 2 0. März 2020 ; Coronavirus : Massnahmenpaket zur Abfederung der wirtschaftlichen Folgen ). Insofern kann im Hinblick auf die geforderte Sorgfalt vorliegend nicht bloss von leichter Fahr lässigkeit ausgega ngen werden,</w:t>
      </w:r>
    </w:p>
    <w:p>
      <w:r>
        <w:t>ist der gute Glaube als Erlassvoraussetzung doch nicht schon mit der Unkenntnis des Rechtsmangels gegeben (vgl. vorstehend E.</w:t>
      </w:r>
    </w:p>
    <w:p>
      <w:r>
        <w:rPr>
          <w:b/>
        </w:rPr>
        <w:t>E. 3.3</w:t>
      </w:r>
    </w:p>
    <w:p>
      <w:r>
        <w:t>Nach dem Gesagten ist somit festzuhalten, dass der gute Glaube vom Beschwer degegner zu Recht verneint wurde. Bei dieser Sachlage muss die zweite Voraus setzung für den Erlass der Rückerstattung zu viel bezogener Leistungen – das Vorliegen einer grossen Härte – nicht mehr geprüft werden (vgl. vorstehend E .</w:t>
      </w:r>
    </w:p>
    <w:p>
      <w:r>
        <w:rPr>
          <w:b/>
        </w:rPr>
        <w:t>E. 4</w:t>
      </w:r>
    </w:p>
    <w:p>
      <w:r>
        <w:t>Abs. 1 der Verord nung über den Allgemeinen Teil des Sozialversicherungsrechts (ATSV) bei Vor liegen einer grossen Härte ganz oder teilweise erlassen. Die Voraussetzungen des guten Glaubens und der grossen Härte müssen kumulativ erfüllt sein (Urteil des Bundesgerichts 8C_100/2020 vom 1 5. April 2020 E. 2.1 mit Hinweis). Über Rück forderung und - g egebenenfalls Erlass derselben - wird in der Regel in zwei Schritten verfügt. Enthalten die Eingaben der Rentenberechtigten sowohl Ele mente betreffend Rückforderung als auch betreffend Erlassgesuch, so muss zuerst über die Rechtmässigkeit der ergangenen Rückforderung befunden werden. Erst wenn die Rückerstattungsverfügung rechtskräftig ist, kann über das Erlassgesuch befunden werden (Urteil des Eidgenössischen Versicherungsgerichts, EVG, P 62/04, vom 6. Juni 2005).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 lässige Melde- oder Auskunftspflichtverletzung zurückzuführen ist. Andererseits kann sich die rückerstattungspflichtige Person auf den guten Glauben berufen, wenn ihr fehlerhaftes Verhalten nur leicht fahrlässig war. Wie in anderen Berei chen beurteilt sich das Mass der erforderlichen Sorgfalt nach einem objektiven Massstab, wobei aber das den Betroffenen in ihrer Subjektivität Mögliche und Zumutbare (Urteilsfähigkeit, Gesundheitszustand, Bildungsgrad usw.) nicht aus geblendet werden darf. Das Verhalten, das den guten Glauben ausschliesst, braucht nicht in einer Melde- oder Anzeigepflichtverletzung zu bestehen. Auch ein anderes Verhalten, z.B. die Unterlassung, sich bei der Verwaltung zu erkun digen, fällt in Betracht (Urteil des Bundesgerichts 8C_102/2020 vom 1. Mai 2020 E. 4.1 mit Hinweisen). 2.</w:t>
      </w:r>
    </w:p>
    <w:p>
      <w:r>
        <w:rPr>
          <w:b/>
        </w:rPr>
        <w:t>E. 5</w:t>
      </w:r>
    </w:p>
    <w:p>
      <w:r>
        <w:t>der Covid-19-Verordnung Arbeitslosenversicherung sodann auch aus drücklich auf der Website des Seco (vgl. https://www.seco.admin.ch/seco/de/</w:t>
      </w:r>
    </w:p>
    <w:p>
      <w:r>
        <w:t>ho me / seco / nsb -news/ medienmitt eilungen-2020.msg-id-78515.html;</w:t>
      </w:r>
    </w:p>
    <w:p>
      <w:r>
        <w:t>z uletzt be sucht am 3 0. Mai 2022 ) sowie auf den vom Geschäftsführer der Beschwerdefüh rerin bei der Arbeitslosenkasse des Kantons Zürich eingereichten Abrec hnungs formularen (vgl. Urk. 7/ 27 S. 110-111, S. 120-121, S. 127 -128 ) hingewiese n. Unter diesen Umständen hätten Y.___</w:t>
      </w:r>
    </w:p>
    <w:p>
      <w:r>
        <w:t>und</w:t>
      </w:r>
    </w:p>
    <w:p>
      <w:r>
        <w:t>Z.___</w:t>
      </w:r>
    </w:p>
    <w:p>
      <w:r>
        <w:t>bei gebotener Aufmerks amkeit somit erkennen müssen, dass ihnen die ausbezahlte Kurzarbeitsentschädigung für die Monate Juni bis N ovember</w:t>
      </w:r>
    </w:p>
    <w:p>
      <w:r>
        <w:t>2020 nicht und für die Monat e März bis Mai 2020 ni cht in dieser Höhe zusteht. Sie hätten</w:t>
      </w:r>
    </w:p>
    <w:p>
      <w:r>
        <w:t>daher bereits beim Leistungsempfang damit rechnen müssen, dass es zu ei ner Rücker stattung kommen könnte.</w:t>
      </w:r>
    </w:p>
    <w:p>
      <w:r>
        <w:t>Mit Blick auf die Argumentation der Beschwerdeführerin ist sodann hervorzuhe ben , dass es für den Erlass der Rückforderung allein auf den guten Glauben des Leistungsempfängers ankom mt. Ob der Beschwerdegegner beziehungsweise die fragliche Arbeitslosenkasse sich schon bei Erbringung der Leistung deren Unrechtmässigkei t hätte bewusst sein können beziehungsweise müssen, ist dem gegenüber unerheblich. So vermag allein die Tatsache, dass einem Durchfüh rungsorgan der Arbeitslosenversicherung allenfalls ein Fehler unterlaufen ist, es noch nicht zu rechtfertigen, dass eine versicherte Person zu Unrecht erhaltene Leistungen ohne Weiteres behalten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