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AL.2020.00195 vom 29. April 2021</w:t>
      </w:r>
    </w:p>
    <w:p>
      <w:r>
        <w:t>ZH Sozialversicherungsgericht, 2021-04-29, DE</w:t>
      </w:r>
    </w:p>
    <w:p>
      <w:r>
        <w:rPr>
          <w:b/>
        </w:rPr>
        <w:t xml:space="preserve">Quelle: </w:t>
      </w:r>
      <w:r>
        <w:t>https://mcp.opencaselaw.ch/entscheid/zh_sozialversicherungsgericht_AL.2020.00195</w:t>
      </w:r>
    </w:p>
    <w:p>
      <w:r>
        <w:t>FR: ZH_SOZIALVERSICHERUNGSGERICHT AL.2020.00195 du 29 avril 2021</w:t>
      </w:r>
    </w:p>
    <w:p>
      <w:r>
        <w:t>IT: ZH_SOZIALVERSICHERUNGSGERICHT AL.2020.00195 del 29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1976, war seit dem 1. Oktober 2007 als Assistent bei der Y.___ AG</w:t>
      </w:r>
    </w:p>
    <w:p>
      <w:r>
        <w:t>in einem 80%-Pensum angestellt ( Urk. 7/2, Urk. 7/</w:t>
      </w:r>
    </w:p>
    <w:p>
      <w:r>
        <w:rPr>
          <w:b/>
        </w:rPr>
        <w:t>E. 5</w:t>
      </w:r>
    </w:p>
    <w:p>
      <w:r>
        <w:t>, Urk. 7/11 ), als er im September 2019 mündlich und schriftlich sein Arbeitsverhältnis kündigte, da er sich selbständig machen wolle ( Urk. 7/ 2 ). D ie dreimonatige Kündigungsfrist wurde mit einer Aufhebungs ver ein barung vom 29. Ok tober 2019 verkürzt und das Arbeitsverhältnis per 3 1. Oktober 2019 be en det ( Urk. 7/4) An diesem Datum wurde auch der letzt e Arbeitstag ge leistet (Urk. 7/2 ; vgl. au c h Urk. 7/21 ).</w:t>
      </w:r>
    </w:p>
    <w:p>
      <w:r>
        <w:t>Ende September 2019 g ründete X.___ die Einzelfirma « Z.___ », deren Zweck die Unternehmensberatung ist ( Urk. 7/9 ; vgl. auch Internetauszug aus dem Handelsregister der Kantons Zürich). In diesem Zusammenhang schloss X.___ mit der Y.___ AG per 1. No vem ber 2019 ein en « Consultancy Vertrag» ab (vgl. Urk. 7/21). Mit Einsprache ent scheid vom 1 0. Januar 2020 wies die Sozial versicherungsanstalt des Kantons Zürich, Ausgleichskasse, den Antrag von X.___ um Anerkennung als Selbständigerwerbender ab ( Urk. 7/20). Hernach meldete er sich a m 1 4. April 2020</w:t>
      </w:r>
    </w:p>
    <w:p>
      <w:r>
        <w:t>zur Arbeitsvermittlung beim Regionalen Arbeitsver mitt lungs zentrum (RAV) an ( Urk. 7/ 1 ) und beantragte ab dem 1. Mai 2020 Arbeits losen ent schädi gung ( Urk. 7/ 2 ). Er füllte am 2 0. Mai 2020 den Frage bogen «Selb ständige Erwerbs tätigkeit während der Arbeitslosigkeit» aus (Urk. 7/</w:t>
      </w:r>
    </w:p>
    <w:p>
      <w:r>
        <w:rPr>
          <w:b/>
        </w:rPr>
        <w:t>E. 10</w:t>
      </w:r>
    </w:p>
    <w:p>
      <w:r>
        <w:t>). Die Unia Arbeitslosen kasse verlangte von ihm weitere Auskünfte (vgl. Urk.</w:t>
      </w:r>
    </w:p>
    <w:p>
      <w:r>
        <w:t>7/7-8 ), worauf er sich a m 1 1. Mai 2020 erg änzend zur Sache äusserte (Urk. 7/12, Urk. 7/14 ). Mit Verfügung vom 1 3. Mai 2020 verneinte die Unia Arbeits losenkasse einen An spruch auf Arbeitslosenentschädigung ( Urk. 7/</w:t>
      </w:r>
    </w:p>
    <w:p>
      <w:r>
        <w:rPr>
          <w:b/>
        </w:rPr>
        <w:t>E. 15</w:t>
      </w:r>
    </w:p>
    <w:p>
      <w:r>
        <w:t>). Da gegen erhob der Ver sicherte am 17. Mai 2020 Einsprache ( Urk. 7/16) und reichte den Einsprache entscheid der Sozialversicherungsanstalt des Kantons Zürich, Ausgleichskasse, vom 1 0. Januar 2020 ( Urk. 7/</w:t>
      </w:r>
    </w:p>
    <w:p>
      <w:r>
        <w:rPr>
          <w:b/>
        </w:rPr>
        <w:t>E. 20</w:t>
      </w:r>
    </w:p>
    <w:p>
      <w:r>
        <w:t>) zu den Akten. Mit En tscheid vom 8. Juli 2020 wies die Unia Arbeitslosenkasse die Einsprache ab ( Urk. 7/23 =</w:t>
      </w:r>
    </w:p>
    <w:p>
      <w:r>
        <w:t>Urk. 2). 2.</w:t>
      </w:r>
    </w:p>
    <w:p>
      <w:r>
        <w:t>Gegen den Einspracheentscheid vom 8. Juli 2020 erhob der Versicherte mit Ein gabe vom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