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AL.2020.00167 vom 8. März 2021</w:t>
      </w:r>
    </w:p>
    <w:p>
      <w:r>
        <w:t>ZH Sozialversicherungsgericht, 2021-03-08, DE</w:t>
      </w:r>
    </w:p>
    <w:p>
      <w:r>
        <w:rPr>
          <w:b/>
        </w:rPr>
        <w:t xml:space="preserve">Quelle: </w:t>
      </w:r>
      <w:r>
        <w:t>https://mcp.opencaselaw.ch/entscheid/zh_sozialversicherungsgericht_AL.2020.00167</w:t>
      </w:r>
    </w:p>
    <w:p>
      <w:r>
        <w:t>FR: ZH_SOZIALVERSICHERUNGSGERICHT AL.2020.00167 du 8 mars 2021</w:t>
      </w:r>
    </w:p>
    <w:p>
      <w:r>
        <w:t>IT: ZH_SOZIALVERSICHERUNGSGERICHT AL.2020.00167 del 8 marzo 2021</w:t>
      </w:r>
    </w:p>
    <w:p>
      <w:pPr>
        <w:pStyle w:val="Heading2"/>
      </w:pPr>
      <w:r>
        <w:t>Erwägungen</w:t>
      </w:r>
    </w:p>
    <w:p>
      <w:r>
        <w:rPr>
          <w:b/>
        </w:rPr>
        <w:t>E. 1</w:t>
      </w:r>
    </w:p>
    <w:p>
      <w:r>
        <w:t>X.___ meldete am 1 9. März 2020 ( Urk. 5/ 3-4 ) beim Amt für Wirt schaft und Arbeit (AWA) für zwei</w:t>
      </w:r>
    </w:p>
    <w:p>
      <w:r>
        <w:t>privat bei ihr angestellte Personen für die Zeit vom 1 9. März bi s 3 0. April 2020 Kurzarbeit an.</w:t>
      </w:r>
    </w:p>
    <w:p>
      <w:r>
        <w:t>Mit Verfügung vom 3 0. März 2020 ( Urk. 5/2) bewilligte die Arbeitslosenkasse des Kantons Zürich die Voranmeldung von Kurzarbeit. Mit Verfügung vom 1 8. Mai 2020 ( Urk. 5/1)</w:t>
      </w:r>
    </w:p>
    <w:p>
      <w:r>
        <w:t>erhob das</w:t>
      </w:r>
    </w:p>
    <w:p>
      <w:r>
        <w:t>AWA</w:t>
      </w:r>
    </w:p>
    <w:p>
      <w:r>
        <w:t>Einspruch gegen die Auszahlung von Kurz ar beitsentschädigung und hob die Verfügung vom 3 0. März 2020 auf. Die von X.___ dagegen erhobene Einsprache ( Urk. 5/7) wies das AWA mit Entscheid vom 1 5. Juni 2020 ( Urk. 5/6 = Urk. 2) ab.</w:t>
      </w:r>
    </w:p>
    <w:p>
      <w:r>
        <w:rPr>
          <w:b/>
        </w:rPr>
        <w:t>E. 1.1</w:t>
      </w:r>
    </w:p>
    <w:p>
      <w:r>
        <w:t>Anspruch auf Kurzarbeitsentschädigung besteht, wenn der Arbeitsausfall anre chen bar sowie voraussichtlich vor überge hend ist und erwartet werden darf, dass durch Kurz arbei t die Arbeitsplätze erhalten werden können ( Art. 31 Abs. 1 lit.</w:t>
      </w:r>
    </w:p>
    <w:p>
      <w:r>
        <w:t>b und d des Bundesgesetzes über die obligatorische Arbeitslosenversicherung und die Insolvenzentschädigung, AVIG). Ein Arbeitsausfall ist unter anderem anre chen bar, wenn er auf wirtschaftliche Gründe zurück zufüh ren und unvermeid ba r ist ( Art. 32 Abs. 1 lit.</w:t>
      </w:r>
    </w:p>
    <w:p>
      <w:r>
        <w:t>a AVIG). Ein auf wirtschaftli che Gründe zurückzuführender und an sich grundsätz lich an rechenbarer Arbeitsausfall gilt jedoch dann nicht als anre chenbar, wenn er branchen , berufs oder be triebsüblich ist oder durch sai sonale Beschäftigungs schwan kungen verur sacht wird ( Art. 33 Abs. 1 lit.</w:t>
      </w:r>
    </w:p>
    <w:p>
      <w:r>
        <w:t>b AVIG). Damit will das Ge setz vor allem regelmässig wiederkehrende Arbeits ausfälle von der Kurzarbeitsentschädigung aus schlies sen (BGE 121 V 371 E. 2a, 119 V 357 E. 1a, je mit Hinweisen). Ebenfalls nicht anrechenbar ist ein Arbeitsausfall, der durch Umstände bedingt ist, die zum normalen Betriebs risiko des Arbeitgebers gehören (Art. 33 Abs. 1 lit. a 2. Satzteil AVIG; ARV 2004 Nr. 5 S. 58 E. 2.1).</w:t>
      </w:r>
    </w:p>
    <w:p>
      <w:r>
        <w:t>Die Rechtsprechung legt den Begriff der wirtschaftlichen Gründe - in Berück 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(Urteil des Bundes gerichts C 279/05 vom 2. November 2006 E. 1; ARV 2004 S. 128 E. 1.3, je mit Hinweisen).</w:t>
      </w:r>
    </w:p>
    <w:p>
      <w:r>
        <w:rPr>
          <w:b/>
        </w:rPr>
        <w:t>E. 1.2</w:t>
      </w:r>
    </w:p>
    <w:p>
      <w:r>
        <w:t>Gemäss Art. 32</w:t>
      </w:r>
    </w:p>
    <w:p>
      <w:r>
        <w:t>Abs.</w:t>
      </w:r>
    </w:p>
    <w:p>
      <w:r>
        <w:rPr>
          <w:b/>
        </w:rPr>
        <w:t>E. 1.3</w:t>
      </w:r>
    </w:p>
    <w:p>
      <w:r>
        <w:t>Im Zusammenhang mit Massnahmen wegen des Coronavirus ( COVID 19) wurde das Covid-19- Gesetz vom 2 5. September 2020 erlassen. Der Bundesrat erliess zudem</w:t>
      </w:r>
    </w:p>
    <w:p>
      <w:r>
        <w:t>die Verordnung 3 über Massnahmen zur Bekämpfung des Coronavirus (COVID-19-Verordnung 3) vom 1 9. Juni 2020 (zuvor COVID-19-Verordnung 2), die Verordnung über Massnahmen im Bereich der Arbeitslosenversicherung im Zusammenhang mit dem Coronavirus (COVID-19-Verordnung Arbeitslosen ver si cherung) vom 2 0. März 2020 und die Verordnung über Massnahmen bei Erwerbs ausfall im Zusammenhang mit dem Coronavirus (COVID-19-Verordnung Er werbs ausfall) vom 2 0. März 202 0. Die Verordnungen haben mehrere Änderungen erfahren. 2.</w:t>
      </w:r>
    </w:p>
    <w:p>
      <w:r>
        <w:rPr>
          <w:b/>
        </w:rPr>
        <w:t>E. 2</w:t>
      </w:r>
    </w:p>
    <w:p>
      <w:r>
        <w:t>X.___ erhob am 1 5. (Poststempel vom 22.) Juni 2020 Beschwerde gegen den Einspracheentscheid vom 1 5. Juni 2020 ( Urk. 2) . Sinngemäss bean tragte sie ,</w:t>
      </w:r>
    </w:p>
    <w:p>
      <w:r>
        <w:t>der Entscheid sei aufzuheben und es sei den betreffenden Angestellten Kurzarb eitsentschädigung zuzusprechen ( Urk. 1).</w:t>
      </w:r>
    </w:p>
    <w:p>
      <w:r>
        <w:t>Das AWA beantragte mit Beschwerdeantwort vom 8. Juli 2020 ( Urk. 4) die Abweisung der Beschwerde, was der Beschwerdeführerin am 2 1. Juli 2020 zur Kenntnis gebracht wurde ( Urk. 6). Das Gericht zieht in Erwägung: 1.</w:t>
      </w:r>
    </w:p>
    <w:p>
      <w:r>
        <w:rPr>
          <w:b/>
        </w:rPr>
        <w:t>E. 2.1</w:t>
      </w:r>
    </w:p>
    <w:p>
      <w:r>
        <w:t>Der Beschwerdegegner vertrat den Standpunkt , Kurzarbeitsentschädigung sei für Unternehmen eingeführt worden, die Waren herstellten oder Dienst leistungen erbringen würden, in einem direkten Kontakt mit dem Markt stünden und ihr eigen es Betriebsrisiko tragen würden . Eine Voraussetzung sei, dass das Unter nehmen in direktem Kontakt mit einem Markt stehe. Raumpflegerinnen, Haus angestellte und Tagesmütter hätten daher keinen Anspruch auf Kurzarbeits ent schädigung, wenn sie über einen Arbeitsvertrag mit einer Privatperson verfügten ( Urk. 2 S. 1). Aus den Akten gehe hervor, dass die Beschwerdeführerin Kurzarbeit für ihren Privathaushalt (Kinderbetreuung und Raumpflege) angemeldet habe. Die Kurzarbeit richte sich nicht an privat e Arbeitgeber, die Arbeitnehmer für die Erbringung einer privaten Dienstleistung eingestellt hätten. Private Arbeitgeber könnten weder als Selbständigerwerbende noch als Unternehmen eingestuft wer den (S. 2).</w:t>
      </w:r>
    </w:p>
    <w:p>
      <w:r>
        <w:rPr>
          <w:b/>
        </w:rPr>
        <w:t>E. 2.2</w:t>
      </w:r>
    </w:p>
    <w:p>
      <w:r>
        <w:t>Die Beschwerdeführerin brachte vor, der Entscheid des Beschwerdegegners bringe ihre von Covid-19 finanziell stark betroffene Familie weiter in Verlegenheit und Geldnot. Hätte sie im März 2020 gewusst, dass für ihre Angestellten keine Berechtigung für Kurzarbeit bestehe, hätte sie diese bis im September</w:t>
      </w:r>
    </w:p>
    <w:p>
      <w:r>
        <w:t>des Jahres entlassen, worauf diese vom RAV Geld erhalten hätten. Die Familie sei nun mit der Situation konfrontiert, dass sie die Angestellten nicht mehr entlassen könnten und gleichzeitig keine Hilfe vom Staat erhielten. Ihr Ehemann habe als frei schaffender Musiker alle seine Engagements von März bis Oktober verloren. Die Kompensation, die sie von der Sozialversicherungsanstalt des Kantons Zürich erhalte, sei leider unzureichend. Selber befinde sie sich seit Mai diese s Jahres in Kurzarbeit, wobei sie mit einem Lohnausfall von 20 % rechnen müsse ( Urk. 1).</w:t>
      </w:r>
    </w:p>
    <w:p>
      <w:r>
        <w:rPr>
          <w:b/>
        </w:rPr>
        <w:t>E. 2.3</w:t>
      </w:r>
    </w:p>
    <w:p>
      <w:r>
        <w:t>Streitig und zu prüfen ist, ob für zwei privat bei der Beschwerdeführerin an gestellte Personen von einem anrechenbaren Arbeitsausfall auszugehen ist und ob für diese ein Anspruch auf Kurzarbeitsentschädigung besteht.</w:t>
      </w:r>
    </w:p>
    <w:p>
      <w:r>
        <w:rPr>
          <w:b/>
        </w:rPr>
        <w:t>E. 3</w:t>
      </w:r>
    </w:p>
    <w:p>
      <w:r>
        <w:t>sind deshalb hohe Anforderungen zu stellen. Die Nichtbefreiung muss ein hohes Opfer erfordern, so dass die Gutheissung des Gesuchs als dringend, billig und geradezu geboten erscheint . Zudem ist vom Arbeitgeber der Nachweis oder die Glaub haft machung einer qualifiziert ungünstigen Geschäftslage zu verlangen (ARV 1985 N 10 S. 40 E 4.2).</w:t>
      </w:r>
    </w:p>
    <w:p>
      <w:r>
        <w:t>Ein Arbeitsausfall aufgrund behördlicher Massnahmen kann etwa eine baupoli zeilich bedingte Arbeitseinstellung darstellen (ARV 1986 N 8 S. 37 E. 2a), ebenso die vorübergehende Schliessung eines Flugplatzes aufgrund von Massnahmen von Flugplatzgegnern (ARV 1978 N 29 S. 116 E. 2). Ein Arbeitsausfall aufgrund anderer vom Arbeitgeber nicht zu vertretenden Umständen kann etwa dann vor liegen, wenn ein Gebäude, an welchem ein Arbeitgeber mit seinen Angestellten Dachdeckerarbeiten ausführt, durch eine Feuersbrunst zerstört wird, da dies nicht zum normalen Betriebsrisiko gehört (ARV 2004 Nr. 4 S. 55 f. E. 2.2). In der Musik- Branche gehört der Arbeitsausfall von Arbeitnehmenden , weil die Musiker wegen vorübergehenden Krankheiten oder Unpässlichkeiten oder infolge Todesfall nicht zur Verfügung stehen, zum normalen Betriebsrisiko (BGE 138 V 333 E. 4.2.3).</w:t>
      </w:r>
    </w:p>
    <w:p>
      <w:r>
        <w:rPr>
          <w:b/>
        </w:rPr>
        <w:t>E. 3.1</w:t>
      </w:r>
    </w:p>
    <w:p>
      <w:r>
        <w:t>und 3.2). An das Vorliegen eines Härtefalls nach Abs.</w:t>
      </w:r>
    </w:p>
    <w:p>
      <w:r>
        <w:rPr>
          <w:b/>
        </w:rPr>
        <w:t>E. 3.2</w:t>
      </w:r>
    </w:p>
    <w:p>
      <w:r>
        <w:t>Die Härtefallregelung in Art. 32 Abs.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MosimannBrugger</w:t>
      </w:r>
    </w:p>
    <w:p>
      <w:r>
        <w:rPr>
          <w:b/>
        </w:rPr>
        <w:t>E. 4.2</w:t>
      </w:r>
    </w:p>
    <w:p>
      <w:r>
        <w:t>Unter Hinweis auf die zitierte Rechtsprechung (E. 3.2 hiervor) ist ein Arbeits ausfall auch unter der Härtefallregelung in Art. 32 Abs. 3 AVIG in Verbindung mit Art. 51 AVIV nur dann anrechenbar, wenn die wirtschaftlichen Erschwernisse so eintreten, dass die Arbeitsleistung des Betriebes nicht mehr erbracht werden kann oder nur noch teilweise nachgefragt wird. Ei n solcher Fall liegt nicht vor , auch wenn - wie noch in der Einsprache für eine der Angestellten unbelegt geltend gemacht (vgl. Urk. 5/7) - die Angestellten in einem Privathaushalt aus Gründen, die in ihrer Person liegen, ihre bisherigen Tätigkeiten nicht mehr wie gewohnt weiter ausüben können oder sollten . Ein entsprechender Anspruch ergibt sich auch nicht aus Art. 27a Abs. 1 der COVID-19-Verordnung 3. Die Bestim mung sieht vor, dass der Arbeitgeber seinen besonders gefährdeten Arbeit neh merinnen und Arbeitnehmern ermöglicht , ihre Arbeitsverpflichtungen von zu Hause aus zu erfüllen. Daraus resultiert jedoch kein Anspruch auf Kurzarbeits entschädigung für Arbeitnehmerinnen und Arbeitnehmer von Privatpersonen.</w:t>
      </w:r>
    </w:p>
    <w:p>
      <w:r>
        <w:t>Die Beschwerdeführer in machte in der Beschwerde denn auch nicht</w:t>
      </w:r>
    </w:p>
    <w:p>
      <w:r>
        <w:t>mehr geltend , dass es sich bei ihren Angestellten um besonders gefährdete Arbeitnehmerinnen im Sinne von Art. 27a Abs. 1 COVID-19-Verordnung 3 handelt und ihnen die Ausübung ihrer Tätigkeit in der Zeit vom 1 9. März bis 3 0. April 2020 auch unter Einhaltung der Voraussetzu ngen von Art. 27a Abs. 3 lit. a und b der Verordnung beziehungsweise der bekannten Schutzmassnahmen nicht möglich war.</w:t>
      </w:r>
    </w:p>
    <w:p>
      <w:r>
        <w:t>Der vom Beschwerdegegner vertret ene Standpunkt ( Urk. 2 S. 1 f.) deckt sich s o dann mit der Stellungnahme des Bundesrates vom 1 9. August 2020 zum Postulat 20.3200 (Kurzarbeit. Entschädigung der Arbeitnehmenden auf Stundenlohnbasis bei Privatpersonen) . Darin wurde ausgeführt , die Kurzarbeitsentschädigung richte sich an Unternehmen, die Waren her stellten, Dienstleistungen erbringen, in einem direkten Kontakt mit dem Markt stünden und ihr eigenes Betriebsrisiko tragen würden. Liege kein Betriebsrisiko vor, b estehe in der Regel kein Kündigungsrisiko, weshalb eine Ausrichtung von Kurzarbeitsentschädigung, deren Zweck in der Erhaltung von Arbeitsplätzen stehe, nicht gerechtfertigt sei. Die blosse Tatsache, dass jemand Arbeitgeber se i, reiche demnach nicht aus, um Kurzarbeitsent schä digung geltend machen zu können. Privathaushalte würden in der Regel keine Waren und Dienstleistungen anbieten und daher aufgrund der Pandemie keinen Nachfragerückgang verzeichnen.</w:t>
      </w:r>
    </w:p>
    <w:p>
      <w:r>
        <w:t>Zum gleichen Ergebnis führt, dass ein Arbeitsausfall nach Art. 32 Abs. 1 lit. a AVIG nur anrechenbar ist, wenn er auf wirtschaftliche Gründe zurückzuführen ist. Auch wenn der Begriff der wirtschaftlichen Gründe weit auszulegen ist, wird dabei implizit von Unternehmen ausgegangen, die Waren h erstellen, Dienst leis tungen erbringen oder in einem direkten Kontakt mit dem Markt stehen. Die Beschwerdeführerin führt jedoch weder einen Betrieb noch hat sie ein wirt schaftliches Risiko zu tragen. Ein Anspruch auf Kurzarbeitsentschädigung fällt daher ausser B etracht.</w:t>
      </w:r>
    </w:p>
    <w:p>
      <w:r>
        <w:rPr>
          <w:b/>
        </w:rPr>
        <w:t>E. 4.3</w:t>
      </w:r>
    </w:p>
    <w:p>
      <w:r>
        <w:t>Zusammenfassend fehlt es an einem anrechenbaren Arbeitsausfall und einem Anspruch auf Kurzarbeitsentschädigung für private Angestellte. Der angefoch tene Einspracheentscheid erweist sich somit als rechtens. Die Beschwerde ist daher abzuweisen. Das Gericht erkennt: 1.</w:t>
      </w:r>
    </w:p>
    <w:p>
      <w:r>
        <w:t>Die Beschwerde wird abgewiesen. 2.</w:t>
      </w:r>
    </w:p>
    <w:p>
      <w:r>
        <w:t>Das Verfahren ist kostenlos. 3.</w:t>
      </w:r>
    </w:p>
    <w:p>
      <w:r>
        <w:t>Zustellung gegen Empfangsschein an: - X.___ - Amt für Wirtschaft und Arbeit (AWA) - seco - Direktion für Arbeit - Arbeitslosenkasse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