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AL.2020.00154 vom 3. November 2020</w:t>
      </w:r>
    </w:p>
    <w:p>
      <w:r>
        <w:t>ZH Sozialversicherungsgericht, 2020-11-03, DE</w:t>
      </w:r>
    </w:p>
    <w:p>
      <w:r>
        <w:rPr>
          <w:b/>
        </w:rPr>
        <w:t xml:space="preserve">Quelle: </w:t>
      </w:r>
      <w:r>
        <w:t>https://mcp.opencaselaw.ch/entscheid/zh_sozialversicherungsgericht_AL.2020.00154</w:t>
      </w:r>
    </w:p>
    <w:p>
      <w:r>
        <w:t>FR: ZH_SOZIALVERSICHERUNGSGERICHT AL.2020.00154 du 3 novembre 2020</w:t>
      </w:r>
    </w:p>
    <w:p>
      <w:r>
        <w:t>IT: ZH_SOZIALVERSICHERUNGSGERICHT AL.2020.00154 del 3 novembre 2020</w:t>
      </w:r>
    </w:p>
    <w:p>
      <w:pPr>
        <w:pStyle w:val="Heading2"/>
      </w:pPr>
      <w:r>
        <w:t>Erwägungen</w:t>
      </w:r>
    </w:p>
    <w:p>
      <w:r>
        <w:rPr>
          <w:b/>
        </w:rPr>
        <w:t>E. 1</w:t>
      </w:r>
    </w:p>
    <w:p>
      <w:r>
        <w:t>Der 1966 geborene X.___ arbeitete seit dem 1. September 2005 bei der Y.___ AG , zuletzt als «Head of Corporate Affairs » ( Urk. 12 /133 ). Am 2 8. März 2019 kündigte seine Arbeitgeberin (vgl. Urk. 12/125-127)</w:t>
      </w:r>
    </w:p>
    <w:p>
      <w:r>
        <w:t>das Arbeits verhältnis auf den 3 0. Juni 2019 ( Urk. 12 /135-136 ), wobei dieses letztlich bis am 3 1. Juli 2019 andauerte ( Urk.</w:t>
      </w:r>
    </w:p>
    <w:p>
      <w:r>
        <w:rPr>
          <w:b/>
        </w:rPr>
        <w:t>E. 1.1</w:t>
      </w:r>
    </w:p>
    <w:p>
      <w:r>
        <w:t>Der Versicherte hat gemäss Art. 8 Abs. 1 des Bundesgesetzes über die obligatori sche Arbeitslosenversicherung und die Insolvenzentschädigung (AVIG) Anspruch auf Arbeitslosenentschädigung, wenn er,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befreit ist (lit. e), vermittlungs fähig ist (lit. f) und die Kontrollvorschriften erfüllt (lit. g).</w:t>
      </w:r>
    </w:p>
    <w:p>
      <w:r>
        <w:rPr>
          <w:b/>
        </w:rPr>
        <w:t>E. 1.2</w:t>
      </w:r>
    </w:p>
    <w:p>
      <w:r>
        <w:t>Gemäss Art. 31 Abs. 3 lit. c AVIG haben Personen, die in ihrer Eigenschaft als Gesellschafter, als finanziell am Betrieb Beteiligte oder als Mitglieder eines obersten betrieblichen Entscheidungsgremiums die Entscheidungen des Arbeitge bers bestimmen oder massgeblich beeinflussen können, sowie ihre mitarbeitenden Ehegatten keinen Anspruch auf Kurzarbeitsentschädigung. Hinsichtlich des An spruchs auf Arbeitslosenentschädigung findet sich zwar in Art. 8 ff. AVIG keine Regelung, die dieser Norm zur Kurzarbeit entsprechen würde. Nach der Recht sprechung gilt diese Regelung jedoch grundsätzlich auch für den Anspruch auf Arbeitslosenentschädigung (BGE 123 V 234 E. 7b/ bb ).</w:t>
      </w:r>
    </w:p>
    <w:p>
      <w:r>
        <w:t>Die Frage, ob eine arbeitnehmende Person einem obersten betrieblichen Ent schei dungsgremium angehört und ob sie in dieser Eigenschaft massgeblich Ein fluss auf die Unternehmensentscheidungen nehmen kann, ist aufgrund der internen betrieblichen Struktur zu beantworten. Keine Prüfung des Einzelfalles ist erfor derlich, wenn sich die massgebliche Entscheidungsbefugnis bereits aus dem Ge setz selbst (zwingend) ergibt (BGE 123 V 234 E. 7a).</w:t>
      </w:r>
    </w:p>
    <w:p>
      <w:r>
        <w:t>Damit eine versicherte Person in arbeitgeberähnlicher Stellung oder deren mit 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w:t>
      </w:r>
    </w:p>
    <w:p>
      <w:r>
        <w:rPr>
          <w:b/>
        </w:rPr>
        <w:t>E. 1.3</w:t>
      </w:r>
    </w:p>
    <w:p>
      <w:r>
        <w:t>D ie mit</w:t>
      </w:r>
    </w:p>
    <w:p>
      <w:r>
        <w:t>BGE 123 V 234</w:t>
      </w:r>
    </w:p>
    <w:p>
      <w:r>
        <w:t>begründete Rechtsprechung (E. 1.2)</w:t>
      </w:r>
    </w:p>
    <w:p>
      <w:r>
        <w:t>findet auch dann Anwendung, wenn die versicherte Person bezüglich des arbeitgeberseitig gekün digten Arbeitsverhältnisses zwar keine arbeitgeberähnliche Stellung innehatte, aber bereits vor Anmeldung zum Bezug von Arbeitslosentaggeld eine selbst ständige Erwerbstätigkeit ausübte. Andauernd selbstständig erwerbende Personen sind in der Regel bereits von vornherein vom Arbeitslosentaggeldbezug ausge schlossen. Die Anwendung der eben erwähnten Rechtsprechung, wonach eine Überprüfung des Anspruchs auf Arbeitslosenentschädigung unter dem Gesichts punkt der rechtsmissbräuchlichen Gesetzesumgehung möglich sein muss, recht fertigt sich daher gleichermassen bei selbstständig Erwerbstätigen, welche sich zum Bezug von Arbeitslosenentschädigung anmelden. Dabei ist massgebend, ob der Status des Selbstständigerwerbenden mit dem Ziel dauernder wirtschaftlicher und unternehmerischer Unabhängigkeit beibehalten wird (Urteil e</w:t>
      </w:r>
    </w:p>
    <w:p>
      <w:r>
        <w:t>des Bundes ge richts 8C_49/2009 vom 5. Juni 2009 E. 4.3 und 8C_344/2018 vom 1 3. Juni 2018 E. 3.4 ) . 2.</w:t>
      </w:r>
    </w:p>
    <w:p>
      <w:r>
        <w:rPr>
          <w:b/>
        </w:rPr>
        <w:t>E. 2</w:t>
      </w:r>
    </w:p>
    <w:p>
      <w:r>
        <w:t>Am</w:t>
      </w:r>
    </w:p>
    <w:p>
      <w:r>
        <w:t>10. Juni 2020 erhob X.___ Beschwerde und beantragte, der Ein spracheentscheid vom 7. Mai 2020 sei aufzuheben und es seien ihm die ge setzlichen Leistungen zuzusprechen. Zusätzlich ersuchte die Rechtsvertreterin des Beschwerdeführers infolge kurzfristiger Mandatierung um Ansetzen einer Frist zur ergänzenden Beschwerdebegründung oder um Anordnung eines zweiten Schriftenwechsels ( Urk. 1). Das hiesige Gericht räumte dem Beschwerdeführer daraufhin die Möglichkeit zur ergänzenden Beschwerdebegründung ein (Verfü gung vom 1 7. Juni 2020, Urk. 4), wovon dieser Gebrauch machte ( Urk. 6). Die Beschwerdegegnerin schloss mit Beschwerdeantwort vom 1 0. Juli 2020 auf Ab weisung der Beschwerde ( Urk. 11), was dem Beschwerdeführer mit Verfügung vom 1 3. Juli 2020 zur Kenntnis gebracht wurde ( Urk. 14).</w:t>
      </w:r>
    </w:p>
    <w:p>
      <w:r>
        <w:t>Mit Schreiben vom 1 0. August 2020 ( Urk. 15) legte der Beschwerdeführer ein weiteres Dokument ins Recht ( Urk. 16) .</w:t>
      </w:r>
    </w:p>
    <w:p>
      <w:r>
        <w:t>Dieses wurde der Beschwerdegegnerin mit Schreiben vom 3. September 2020 zur Kenntnis gebracht ( Urk. 17). Das Gericht zieht in Erwägung: 1.</w:t>
      </w:r>
    </w:p>
    <w:p>
      <w:r>
        <w:rPr>
          <w:b/>
        </w:rPr>
        <w:t>E. 2.1</w:t>
      </w:r>
    </w:p>
    <w:p>
      <w:r>
        <w:t>Die Beschwerdegegnerin wies den Anspruch auf Arbeitslosenentschädigung im Wesentlichen mit der Begründung ab, dass auch nach umfassenden Abklärungen erhebliche Zweifel an den tatsächlichen Gegebenheiten bestünden und ein Miss brauchsrisiko nicht ausgeschlossen werden könne. So habe der Beschwerdeführer bereits vor Beendigung seiner Anstellung die Absicht gehabt, eine selbstständige Erwerbstätigkeit eingehen zu wollen respektive weiterzuführen. Damit sei nach bundesgerichtlicher Rechtsprechung ein Anspruch auf eine Arbeitslosenent schä digung zu verneinen . Bei einer Gutheissung der Beschwerde müsse eine Über prü fung der Vermittlungsfähigkeit erfolgen. Sodann sei fraglich, ob der Be schwer deführer tatsächlich arbeitslos im Sinne des Gesetzes sei ( Urk. 2).</w:t>
      </w:r>
    </w:p>
    <w:p>
      <w:r>
        <w:rPr>
          <w:b/>
        </w:rPr>
        <w:t>E. 2.2</w:t>
      </w:r>
    </w:p>
    <w:p>
      <w:r>
        <w:t>Der Beschwerdeführer stellt in Abrede, er habe sich vor Beendigung des Arbeits verhältnisses respektive vor Anmeldung zum Bezug von Arbeitslosenent schä digung selbständig machen wollen. Er sei zweigleisig gefahren, indem er einer seits nach einer Anstellung Ausschau gehalten und andererseits den Aufbau einer selbständigen Erwerbstätigkeit ins Auge gefasst habe. Alsdann sei zu berück sichtigen, dass</w:t>
      </w:r>
    </w:p>
    <w:p>
      <w:r>
        <w:t>er über keine arbeitgeberähnliche Stellung verfügt habe. Ebenfalls sei er als vermittlungsfähig einzustufen und arbeitslos im Sinne des Gesetz es, womit er Anspruch auf Arbeitslosenentschädigung habe ( Urk. 6).</w:t>
      </w:r>
    </w:p>
    <w:p>
      <w:r>
        <w:rPr>
          <w:b/>
        </w:rPr>
        <w:t>E. 3</w:t>
      </w:r>
    </w:p>
    <w:p>
      <w:r>
        <w:t>lit.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 rent ist (Urteile des Bundesgerichts C 255/05 vom 2 5. Januar 2006 und C 92/02 vom 14. April 2003; vgl. Barbara Kupfer Bucher, Rechtsprechung des Bundes ge r ichts zum Sozialversicherungsrecht, Bundesgesetz über die obligatorische Arbeits losenversicherung und die Insolvenzentschädigung, 5. Auflage, Zürich/Basel/ Genf 2019, S. 18 ff. mit Hinweisen zur Rechtsprechung).</w:t>
      </w:r>
    </w:p>
    <w:p>
      <w:r>
        <w:t>Der Eintrag im Handelsregister wird von der Rechtsprechung als wichtiges und einfach zu handhabendes Kriterium berücksichtigt, um eine arbeitgeberähnliche Stellung zu beurteilen. Grundsätzlich wird erst mit der Löschung des Eintrags der arbeitgeberähnlichen Person im Handelsregister (SHAB-Publikation) für Dritte in verlässlicher Weise kundgetan, dass die Person definitiv aus der Firma ausge treten ist bzw. die arbeitgeberähnliche Stellung endgültig aufgegeben hat ( AVIG -Praxis Rz. B28) .</w:t>
      </w:r>
    </w:p>
    <w:p>
      <w:r>
        <w:t>Indes ist zur Bestimmung des Zeitpunkt s des Ausscheidens aus dem Verwaltungsrat der tatsächliche Rücktritt aus dem Verwaltungsrat und nicht die Löschung des Eintrags im Handelsregister bzw. die Publikation im Schweize rischen Handelsam ts blatt massgebend (ARV 2008 N 6 S. 149 f. E. 3.2, Kupfer Bucher, a.a.O., S. 21).</w:t>
      </w:r>
    </w:p>
    <w:p>
      <w:r>
        <w:rPr>
          <w:b/>
        </w:rPr>
        <w:t>E. 3.1</w:t>
      </w:r>
    </w:p>
    <w:p>
      <w:r>
        <w:t>Die Y.___ AG verfügt über mehrere Tochtergesellschaften (vgl. Urk. 12/1 89 ), wobei</w:t>
      </w:r>
    </w:p>
    <w:p>
      <w:r>
        <w:t>der Beschwerdeführer in einigen</w:t>
      </w:r>
    </w:p>
    <w:p>
      <w:r>
        <w:t>derselben</w:t>
      </w:r>
    </w:p>
    <w:p>
      <w:r>
        <w:t>zeichnungsbe rechtigter Verwaltungsrat respektive Verwaltungsratspräsident war ( Urk. 12/162, 12/264, 12/275, 12/276, 12/278, 12/281, 12/284, 12/287 ) . Die Y.___ AG wechselte mehrmals den Hauptaktionär . Bis zum 3 0. April 2019 waren 51 %</w:t>
      </w:r>
    </w:p>
    <w:p>
      <w:r>
        <w:t>ihrer Aktien im Besitz der Z.___ SA. Die restlichen 49 % wurden von 47 Mitarbeitenden der Y.___ Gruppe über ein Management Buyout-Vehikel respektive über die A.___ AG und die B.___ AG gehalten ( Urk. 12/153-154 , 12/174 ). D er Beschwerdeführer hielt 3.57 % des Aktienkapitals und 1.84 % der Stimm rechte der A.___ AG ( Urk. 12/174, 12/187). Zudem hatte er Einsitz</w:t>
      </w:r>
    </w:p>
    <w:p>
      <w:r>
        <w:t>im Verwaltungsrat der A.___ AG und der B.___ AG und war für diese kollektivzeichnungsberechtigt ( Urk. 12/266, 12/267).</w:t>
      </w:r>
    </w:p>
    <w:p>
      <w:r>
        <w:t>Am 1. Mai 2019 wurde die bisherige Mehrhei tsaktionärin der Y.___ AG, die Z.___ SA ,</w:t>
      </w:r>
    </w:p>
    <w:p>
      <w:r>
        <w:t>deren Allein aktionärin</w:t>
      </w:r>
    </w:p>
    <w:p>
      <w:r>
        <w:t>( Urk. 12/154 , 12/174 ). Ende Juli 2019 fand ein weiterer Wechsel im Aktionariat statt, nachdem die Z.___ SA ihren (100%igen) Aktienbesitz an der Y.___ AG an die C.___ AG veräussert hatte ( Urk. 12/154, 12/168, 12/186, 12/191).</w:t>
      </w:r>
    </w:p>
    <w:p>
      <w:r>
        <w:rPr>
          <w:b/>
        </w:rPr>
        <w:t>E. 3.2</w:t>
      </w:r>
    </w:p>
    <w:p>
      <w:r>
        <w:t>Nachdem das Arbeitsverhältnis des Beschwerdeführers bei der Y.___ AG Ende Juli 2019 geendet und er Arbeitslosenentschädigung beantragt hatte, betei ligte er sich an der D.___ GmbH respektive wurde er am 3. Oktober 2019 als Inhaber von 33 der gesamthaft 210 Stammanteile sowie als Gesellschafter und Geschäftsführer</w:t>
      </w:r>
    </w:p>
    <w:p>
      <w:r>
        <w:t>im Handelsregister des Kantons Schwyz ein getragen ( Urk. 12/142-143 ,</w:t>
      </w:r>
    </w:p>
    <w:p>
      <w:r>
        <w:t>vgl. SHAB-Datum [E. 1.2] ). Die D.___ GmbH war zum damaligen Zeitpunkt im Besitz von 49 % der Aktien der E.___ AG. Die restlichen 51 % (des Aktienkapitals) der E.___ AG wurden von der Y.___ AG, d.h. der ehemaligen Arbeitgeberin des Be schwerdeführers gehalten ( Urk. 7/189).</w:t>
      </w:r>
    </w:p>
    <w:p>
      <w:r>
        <w:t>Aus den Akten ergibt sich, dass im Sommer 2019 Diskussionen über einen Ver kauf der 49 % Aktienanteile, welche</w:t>
      </w:r>
    </w:p>
    <w:p>
      <w:r>
        <w:t>die</w:t>
      </w:r>
    </w:p>
    <w:p>
      <w:r>
        <w:t>D.___ GmbH an der E.___ AG hielt, stattgefunden haben. Als potentielle Käuferin wurde dabei die Mehrheitsaktionärin der E.___ AG, die</w:t>
      </w:r>
    </w:p>
    <w:p>
      <w:r>
        <w:t>Y.___ AG , gehandelt . Ein Verkauf kam nicht zustande, da die Y.___ AG kein Interesse daran hatte ( Urk.</w:t>
      </w:r>
    </w:p>
    <w:p>
      <w:r>
        <w:rPr>
          <w:b/>
        </w:rPr>
        <w:t>E. 6</w:t>
      </w:r>
    </w:p>
    <w:p>
      <w:r>
        <w:t>S. 14 f., 12/145 ). 4.</w:t>
      </w:r>
    </w:p>
    <w:p>
      <w:r>
        <w:t>4.1</w:t>
      </w:r>
    </w:p>
    <w:p>
      <w:r>
        <w:t>Zu prüfen ist zunächst , ob der Beschwerdeführer aufgrund einer arbeitge ber ähnliche n Stellung (E. 1.2) keinen Anspruch auf Arbeitslosenentschädigung hat .</w:t>
      </w:r>
    </w:p>
    <w:p>
      <w:r>
        <w:t>Wie sich aus dem Handelsregisterauszug der vormaligen Arbeitgeberin des Beschwerdeführers, der Y.___ AG, ergibt, war der Beschwerdeführer vom 1 7. Juli 2012 bis zum 2 9. September 2016 einer deren kollektivzeichnungs be rechtigten Verwaltungsräte ( Urk. 12/269-273). Damit kam ihm in dieser Zeit</w:t>
      </w:r>
    </w:p>
    <w:p>
      <w:r>
        <w:t>von Gesetzes wegen eine arbeitgeberähnliche Stellung zu (E. 1.2 , Art. 716 f. des Bundesgesetz es betreffend die Ergänzung des Sch weizerischen Zivilgesetzbuches [ Fünf ter Teil: Obligationenrecht, OR] ). Ob er infolge seiner vom 2 9. September 2016 bis zum 2. August 2019 innegehabten Stellung als kollektivzeich nungs berechtigter Direktor der Y.___</w:t>
      </w:r>
    </w:p>
    <w:p>
      <w:r>
        <w:t>AG ( Urk. 12/269-273) über eine faktische Organstellung verfügte und damit die arbeitgeberähnliche Stellung beibehielt, blieb von der Beschwerdegegnerin ungeklärt und lässt sich</w:t>
      </w:r>
    </w:p>
    <w:p>
      <w:r>
        <w:t>auch anhand der Akten nicht abschliessend beurteilen. Nachdem sich der Beschwerdeführer im Zeitpunkt der Anmeldung zum Leistungsbezug nicht mehr in einem Anstel lungsverhältnis zur Y.___ AG befand, sein Eintrag im Handelsregister am 2. August 2019 gelöscht wurde und keine Hinweise ersichtlich sind, wo nach er an der Y.___ AG direkt beteiligt gewesen wäre (vgl. Urk. 12/184-188), ist eine fortdauernde arbeitgeberähnliche Stellung in diesem Zusammenhang jedoch zu verneinen.</w:t>
      </w:r>
    </w:p>
    <w:p>
      <w:r>
        <w:t>Wie dargelegt, war der Beschwerdeführer zeichnungsberechtigter Verwa ltungsrat von Tochtergesellschaften seiner Ar beitgeberin, der Y.___ AG , gewesen (E.</w:t>
      </w:r>
    </w:p>
    <w:p>
      <w:r>
        <w:t>3.1) .</w:t>
      </w:r>
    </w:p>
    <w:p>
      <w:r>
        <w:t>Wie den entsprechenden Handelsregisterauszügen zu entnehmen ist , waren die dem Beschwerdeführer</w:t>
      </w:r>
    </w:p>
    <w:p>
      <w:r>
        <w:t>b ei den Tochtergesellschaften eingeräumten Zeichnungsberechtigungen (als Verwaltungsrat) - mit Ausnahme de rjenigen der A.___ AG und der B.___ AG</w:t>
      </w:r>
    </w:p>
    <w:p>
      <w:r>
        <w:t>- nach Beendigu ng seines Arbeitsverhältnisses auf den 3 1. Juli 2019 ( Urk. 2 S. 3, 6 S. 2) im August 2019 gelöscht worden ( vgl. Urk. 12/285-287, 12/282-284, 12/199-201, 12/279-281 , 12/164, 12/276, 12/209, 12/160, 12/277- 278, 12/204-206, 12/159, 12/274- 275, 12/161, 12/269-273, 12/158, 12/264-265, 12/207, 12/163, 12/162 ). S ein</w:t>
      </w:r>
    </w:p>
    <w:p>
      <w:r>
        <w:t>Verwal tungsratsmandat</w:t>
      </w:r>
    </w:p>
    <w:p>
      <w:r>
        <w:t>für die</w:t>
      </w:r>
    </w:p>
    <w:p>
      <w:r>
        <w:t>A.___ AG erlosch am 8. Oktober 2019 und das jenige für die</w:t>
      </w:r>
    </w:p>
    <w:p>
      <w:r>
        <w:t>B.___ AG am 1 6. Dezember 2019 (vgl. Handelsregisterauszug Kanton Zug, abrufbar über www.zefix.ch ). Da der Beschwerdeführer somit im Zeitpunkt der Anmeldung zum Leistungsbezug immer noch als Verwaltungsrat dieser Tochtergesellschaften eingetragen war, kam ihm von Gesetzes wegen grundsätzlich eine arbeitgeberähnliche Stellung zu ( E. 1.2, Art. 716 f. OR ). Daran ändert auch nicht s , dass zur Bestimmung des Zeitpunkts des Ausscheidens aus dem Verwaltungsrat der tatsächliche Rücktritt aus dem Verwaltungsrat und nicht die Löschung des Eintrags im Handelsregister bzw. die Publikation im Schweize rischen Handelsamtsblatt massgebend ist (E. 1.2). So hat der Beschwerdeführer gemäss eigenen Angaben das Rücktrittsschreiben undatiert unterzeichnet ( Urk. 12/156) und damit in Kauf genommen, dass die arbeitgeberähnliche n</w:t>
      </w:r>
    </w:p>
    <w:p>
      <w:r>
        <w:t>Stel lung en</w:t>
      </w:r>
    </w:p>
    <w:p>
      <w:r>
        <w:t>andauert en . Hinzu kommt, dass</w:t>
      </w:r>
    </w:p>
    <w:p>
      <w:r>
        <w:t>infolge der Unternehmensstruktur der Y.___ AG von einem Firmenkonglomerat auszugehen ist (vgl. auch Urk. 12/189) .</w:t>
      </w:r>
    </w:p>
    <w:p>
      <w:r>
        <w:t>Aufgrund des Gesagten jedoch (per se) auf eine erhöhte Missbrauchsgefahr zu schliessen und den Beschwerdeführer vom Anspruch auf Arbeitslosenent schädi gung auszuschliessen, trägt aber den konkreten Umständen nicht angemessen Rechnung. Die von der Beschwerdegegnerin - zumindest in der Verfügung vom 1 0. September 2019 ( Urk. 12/196-198) - beigezo gene höchstrichterliche Recht spre chung (Urteile des Bundesgerichts C 376/99 vom 14. März 2001 E. 3 und C</w:t>
      </w:r>
    </w:p>
    <w:p>
      <w:r>
        <w:t>219/02 vom 17. März 2003 E. 2.3 ) ist typischerweise auf Firmenkonglomerate in Familien zugeschnitten, in welchen verschiedene in ihrer Geschäftstätigkeit vergleichbare Firmen eng verflochten sind und fast identisch zusammengesetzte Entscheidungsgremien aufweisen, so dass sie als ein einziges kompaktes Ganzes erscheinen. Anders als bei einem solch en (Familien)-Firmenkonglomerat recht fertigt sich bei Vorliegen eines Firmenkonglomerats in Form eines Grosskonzerns die A nnahme, dass sich Versicherte, die von einem - Teil dieses Konzerns dar stellenden - Erst betrieb entlassen wurden, und gleichzeitig in einem zum gleichen Konzern gehö renden Drittbetrieb eine arbeitgeberähnliche Stellung innehaben, bei Bedarf in diesem oder einem andern von der Geschäftstätigkeit her ver gleichbaren Betrieb des Konglomerats (wieder) anstellen lassen können, nicht ohne Weiteres.</w:t>
      </w:r>
    </w:p>
    <w:p>
      <w:r>
        <w:t>So ist denn auch der Beschwerdeführer nicht als wesentlicher Teil des Konzerns zu betrachten und nicht davon auszugehen, dass seine über die Kündigung hinaus dauernden anhaltenden arbeitgeberähnlichen Stellungen in den Tochtergesell schaften ihm hätten ermöglichen können, sich wieder in der Muttergesellschaft oder in einer Tochtergesellschaft anzustellen. Zu berücksichtigen ist dabei , dass die Y.___ AG mehrfach den Eigentümer gewe chselt hatte, was infolge</w:t>
      </w:r>
    </w:p>
    <w:p>
      <w:r>
        <w:t>umfassende r Mutat ionen eine verzögerte Eintragung respektive Löschung seiner Zeichnungsberechtigungen bei den Tochtergesellschaften zur Folge gehabt haben dürfte. Im Hinblick auf die Verwaltungsratsmandate des Beschwerdeführers bei den Beteiligungsgesellschaften A.___ AG und B.___ AG erfolgten die Löschungen - wie dargelegt - zwar zu einem später en Zeitpunkt . Indes hatten diese beiden Gesellschaften ihre Aktienanteile an der Y.___ AG bereits Ende April 2019 veräussert (E. 3.1) und war es ihnen - s oweit ersichtlich - nicht möglich, über dieses Datum hinaus einen Einfluss auf die Y.___ AG</w:t>
      </w:r>
    </w:p>
    <w:p>
      <w:r>
        <w:t>geltend machen zu können. Ferner ist auch die Aussage des Chefjuristen («General Counsel ») der C.___ AG, dem Beschwerdeführer wäre ohnehin gekündigt worden, hätte dies seine vormalige Arbeitgeberin ( Y.___ AG) nicht bereits vorgenommen ( Urk. 12/169), weiteres</w:t>
      </w:r>
    </w:p>
    <w:p>
      <w:r>
        <w:t>Indiz dafür , dass der Beschwerdeführer ge rade keinen massgeblichen Einfluss auf die Unternehmensentscheidungen nehmen konnte (E. 1.2).</w:t>
      </w:r>
    </w:p>
    <w:p>
      <w:r>
        <w:t>Was sodann die Darstellung der Beschwerdegegnerin</w:t>
      </w:r>
    </w:p>
    <w:p>
      <w:r>
        <w:t>anbelangt, der Beschwerde führer habe als Mitinhaber der E.___ AG einen Einfluss auf deren Muttergesellschaft und gleichzeitige vormalige Arbeitgeberin ( Y.___ AG, E. 3.1) nehmen können, kann ihr (ebenfalls) nicht gefolgt wurden.</w:t>
      </w:r>
    </w:p>
    <w:p>
      <w:r>
        <w:t>So wurde der Beschwerdeführer</w:t>
      </w:r>
    </w:p>
    <w:p>
      <w:r>
        <w:t>gemäss Aktenlage erst nach seinem Ausscheiden aus der Y.___ indirekt Teilhaber der E.___</w:t>
      </w:r>
    </w:p>
    <w:p>
      <w:r>
        <w:t>AG respektive am 3. Oktober 2019 als Inhaber, Gesellschafter und Geschäftsführer der D.___ GmbH im Handelsregister eingetragen (E. 3.2) . Zudem ist nicht erkennbar , wie er mit seiner geringen Beteiligung an der D.___ GmbH ( ab 3. Oktober 2019 rund 16 % [E. 3.2] bzw. ab 9. März 2020 rund 20 % [ Urk. 12/142-143] Stammkapital besitz ) einen (wesentlichen) Einfluss auf die E.___ AG hätte ausüben können . Dies, zumal die D.___ GmbH nur über eine Minderheitsbeteiligung an der E.___ AG verfügte respektive die E.___ AG von der Y.___ AG beherrscht wurde.</w:t>
      </w:r>
    </w:p>
    <w:p>
      <w:r>
        <w:t>Schliesslich ist - im Hinblick auf eine allfällige Tätigkeit des Beschwerdeführer s im Treuhandunternehmen seiner Ehefrau -</w:t>
      </w:r>
    </w:p>
    <w:p>
      <w:r>
        <w:t>festzuhalten, dass eine Missbrauchs gefahr respektive die Möglichkeit, darüber einen (massgeblichen) Ein fluss</w:t>
      </w:r>
    </w:p>
    <w:p>
      <w:r>
        <w:t>auf seine vormalige Arbeitgeberin nehmen zu können, nicht erkennbar ist.</w:t>
      </w:r>
    </w:p>
    <w:p>
      <w:r>
        <w:t>Nach dem Gesagten ist festzuhalten, dass keine arbeitgeberähnliche Stellung an zunehmen ist, welche den Beschwerdeführer von der Anspruchsberechtigung</w:t>
      </w:r>
    </w:p>
    <w:p>
      <w:r>
        <w:t>im Zusammenhang mit der geltend gemachten Arbeitslosigkeit aufgrund des Ver lustes seiner Stelle bei der Y.___ AG ausschliessen würde. 4.2</w:t>
      </w:r>
    </w:p>
    <w:p>
      <w:r>
        <w:t>Zu Recht nicht geltend gemacht wird von der Beschwerdegegnerin, dass der Beschwerdeführer bereits vor Anmeldung zum Bezug von Arbeitslosentaggeld eine selbstständige Erwerbstätigkeit ausgeübt habe und ihm deshalb die Berech tigung zum Bezug von Arbeitslosenentschädigung abzusprechen wäre (E. 1.3). Vielmehr stellt sie sich auf den Standpunkt, der Beschwerdeführer habe bereits vor und auch nach der Anmeldung zum Bezug von Arbeitslosentaggeldern</w:t>
      </w:r>
    </w:p>
    <w:p>
      <w:r>
        <w:t>einzig eine dauernde Selbst ändigkeit und nicht eine Arbeit nehmertätigkeit angestrebt ( Urk. 2 S. 7), was aber</w:t>
      </w:r>
    </w:p>
    <w:p>
      <w:r>
        <w:t>unter dem Gesichtspunkt der Vermittlungsfähigkeit zu prüfen</w:t>
      </w:r>
    </w:p>
    <w:p>
      <w:r>
        <w:t>ist (vgl. auch AVIG -Praxis Rz. 238 ff.). Dasselbe gilt, wenn eine versicherte Person während gemeldeter Arbeitslosigkeit eine selbstständige Erwerbstätigkeit auf nimmt. Auch dies zieht die Prüfung des Leistungsanspruchs unter dem Aspekt der Vermittlungsfähigkeit nach sich , dies falls kann der Anspruch auf Arbeitslosenentschädigung nicht in analoger An wendung von Art. 31 Abs. 3 lit. c AVIG abgelehnt werden (ARV 2008 Nr. 18 ; E.</w:t>
      </w:r>
    </w:p>
    <w:p>
      <w:r>
        <w:t>3. 3-3. 4; Urteil e des Bundesgerichts 8C_635/2009 vom 1. Dezember 2009 E. 3.2, E. 3.3 und E . 3.4.3 , 8C_81/2009 vom 2 7. August 2009 E. 3.3 und 3.4). 4.3</w:t>
      </w:r>
    </w:p>
    <w:p>
      <w:r>
        <w:t>Soweit sich die Beschwerdegegnerin auf den Standpunkt stellt, der Beschwerde führer sei nach der Beendigung seiner Anstellung bei der Y.___ AG bei der D.___ GmbH als Gesellschafter (SHAB-Eintrag vom 3. Oktober 2019, Urk. 12/142-143) eingestiegen, womit er faktisch selbständig geworden sei, steht die Aufnahme einer selbständigen Tätigkeit während gemel deter Arbeitslosigkeit zur Diskussion. Auch wenn die von der Beschwerde gegnerin angeführten übrigen Umstände (als «Networking» bezeichnete Arbeits bemühungen, nicht definitiv beendete Beziehung zur Y.___ -Gruppe, Hinweis des Beschwerdeführers auf eine allfällige Übernahme eines Treuhandbüros, Einträge auf den sozialen Netzwerken zu einer angeblichen Anstellung im Unternehmen seiner Ehefrau; Urk. 2 S. 6 f.) sowohl Fragen hinsichtlich der Arbeitslosigkeit des Beschwerdeführers als solche als auch hinsichtlich seiner Bereitschaft zur Aufnahme einer unselbständigen Tätigkeit aufwerfen, kann der Anspruch auf Arbeitslosenentschädigung nicht – wie von der Beschwerdegegnerin mit dem Hinweis auf das bundesgerichtliche Urteil 8C_49/2009 vom 5. Juni 2009 vor genommen – unter Rückgriff auf die Missbrauchsgefahr verneint werden, erging das Urteil 8C_49/2009 doch gerade im Lichte der mit BGE 123 V 234 begründeten Rechtsprechung bei einem Sachverhalt mit bereits vor der Anmeldung zum Bezug von Arbeitslosentaggeld ausgeübten selbständigen Tätigkeit, welche hier – bei in Frage stehender Aufnahme einer solchen über zwei Monate nach gemeldeter Arbeitslosigkeit - nicht zu Anwendung gelangt (E. 4.2). 4.4.</w:t>
      </w:r>
    </w:p>
    <w:p>
      <w:r>
        <w:t>4.4.1</w:t>
      </w:r>
    </w:p>
    <w:p>
      <w:r>
        <w:t>Zur hier zu klärenden Frage nach der Vermittlungsfähigkeit bei im Raum stehender beabsichtigter Aufnahme einer selbständigen Tätigkeit nahm die Beschwerdegegnerin im angefochtenen Entscheid dagegen nicht abschliessend Stellung, was sie denn auch in der E. 9 mit dem Hinweis, dass bei Gutheissung einer allfälligen Beschwerde eine Überprüfung der Vermittlungsfähigkeit erfolgen müsse, zum Ausdruck brachte ( Urk. 2 S. 7). 4.4.2</w:t>
      </w:r>
    </w:p>
    <w:p>
      <w:r>
        <w:t>Allein aus dem Umstand, dass der Beschwerdeführer möglicherweise primär eine selbständige Erwerbstätigkeit aufnehmen wollte, darf die Vermittlungsfähigkeit nicht verneint werden. Vielmehr muss unter Berücksichtigung aller Umstände des konkreten Falles geprüft werden, ob die versicherte Person in Anbetracht der für eine Anstellung noch zur Verfügung stehenden Zeit und der dafür infrage kommenden Anzahl Arbeitgeber bereit und in der Lage war, eine entsprechende Arbeit anzunehmen (ARV 1998 Nr. 12 S. 2b und c) und ob sie sich auch angemessen darum bemühte (ARV 2002 Nr. 5 E. 2b). 4.4.3</w:t>
      </w:r>
    </w:p>
    <w:p>
      <w:r>
        <w:t>Jedenfalls lässt sich die Frage der Vermittlungsfähigkeit gestützt auf die Akten nicht abschliessend beantworten. So wurde nicht abgeklärt, ob die - erst während der laufenden Rahmenfrist für den Leistungsbezug ( Urk. 12/311-314) - erfolgte Beteiligung des Beschwerdeführer s an der D.___ GmbH , welche in diesem Unternehmen eine arbeitgeberähnliche Stellung begründet e (BGE 145 V 200) ,</w:t>
      </w:r>
    </w:p>
    <w:p>
      <w:r>
        <w:t>tatsächlich einen Einfluss auf seine Vermittl ungsfähigkeit hatte ( Urteil des Bundesgerichts 8C_635/2009 vom 1. Dezember 2009 E. 3.3 f. ). Sodann wird abzuklären sein , ob eine allfällige Tätigkeit des Beschwerdeführers für das Treu handunternehmen seiner Ehefrau seine Vermittlungsfähigkeit tangiert e</w:t>
      </w:r>
    </w:p>
    <w:p>
      <w:r>
        <w:t>oder die Arbeitslosigkeit gemäss Art.</w:t>
      </w:r>
    </w:p>
    <w:p>
      <w:r>
        <w:rPr>
          <w:b/>
        </w:rPr>
        <w:t>E. 8</w:t>
      </w:r>
    </w:p>
    <w:p>
      <w:r>
        <w:t>Abs. 1 lit. a AVIG als solche in Frage stellt, was gegebenenfalls den Beizug aktueller Steuerunterlagen erfordert. Weiter ist den Akten nicht zu entnehmen, aus welchem Grund sich der Beschwerdeführer per 1. Juni 202 0 von der Arbeitsvermittlung ab gemeldet hat</w:t>
      </w:r>
    </w:p>
    <w:p>
      <w:r>
        <w:t>( Urk. 12/16), was aber möglicherweise Rückschlüsse auf seine Bereitschaft zur Aufnahme einer unselb ständigen Tätigkeit zuliesse.</w:t>
      </w:r>
    </w:p>
    <w:p>
      <w:r>
        <w:t>Alsdann bedarf es einer vertiefte n Abklärung</w:t>
      </w:r>
    </w:p>
    <w:p>
      <w:r>
        <w:t>dazu , ob sich der Beschwerdeführer im Zeitraum, in welchem er sich zum Aufbau einer selbständigen Tätigkeit umsah, in vertretbare m Umfang um eine unselbs tändige Erwerbstätigkeit bemühte , wobei die mehrheitlich in Form von Networking ergangenen Arbeitsbemühungen gegebenenfalls näher zu beleuchten sind.</w:t>
      </w:r>
    </w:p>
    <w:p>
      <w:r>
        <w:t>Die Beschwerdegegnerin bleibt darauf hinzuweisen, dass den Grundsätzen zum Vertrauensschutz (BGE 131 V 472, Art. 27 ATSG), insbesondere denen sich aus der Aufklärungspflicht ergebenden ( Art. 27 ATSG), dabei Rechnung zu tragen ist. 4.4</w:t>
      </w:r>
    </w:p>
    <w:p>
      <w:r>
        <w:t>Nach dem Gesagten ist der angefochtene Einspracheentscheid vom 7. Mai 2020 aufzuheben und die Sache an die Beschwerdegegner in zurückzuweisen, damit diese</w:t>
      </w:r>
    </w:p>
    <w:p>
      <w:r>
        <w:t>respektive gegebenenfalls das Amt für Wirtschaft und Arbeit ( Art. 81</w:t>
      </w:r>
    </w:p>
    <w:p>
      <w:r>
        <w:t>Abs. 2 AVIG)</w:t>
      </w:r>
    </w:p>
    <w:p>
      <w:r>
        <w:t>Abklärungen betreffend die Vermittlungsfähigkeit und Arbeitslosigkeit des Beschwerdeführers im Sinne der Erwägungen veranlasse. H ernach ist über den Anspruch auf Arbeitslosenentschädigung ab 1 . August 2019</w:t>
      </w:r>
    </w:p>
    <w:p>
      <w:r>
        <w:t>erneut zu entschei den . Die Beschwerde ist in diesem Sinne gutzuheissen. 5.</w:t>
      </w:r>
    </w:p>
    <w:p>
      <w:r>
        <w:t>Nach § 34 Abs. 1 des Gesetzes über das Sozialversicherungsgericht (GSVGer) hat die obsiegende Partei Anspruch auf Ersatz der Parteikosten. Nach ständiger Recht sprechung gilt die Rückweisung der Sache an die Verwaltung zur weiteren Abklä rung und neuen Verfügung als vollständiges Obsiegen (BGE 137 V 57 E. 2.2), wes halb der vertretene Beschwerdeführer Anspruch auf eine Prozessent schä digung hat.</w:t>
      </w:r>
    </w:p>
    <w:p>
      <w:r>
        <w:t>D iese ist beim praxisgemässen Stundenansatz von Fr. 220.-- (z uzüglich Mehrwertsteuer) auf Fr 2’000 .-- (inklusive Barauslagen und Mehrwertsteuer) fest zusetzen und von der Beschwerdegegnerin zu bezahlen.</w:t>
      </w:r>
    </w:p>
    <w:p>
      <w:r>
        <w:t>Das Gericht erkennt: 1.</w:t>
      </w:r>
    </w:p>
    <w:p>
      <w:r>
        <w:t>Die Beschwerde wird in dem Sinne gutgeheissen, dass der angefochtene Einsprache entscheid der Arbeitslosenkasse des Kantons Zürich vom 7. Mai 2020 aufgehoben und die Sache an die Beschwerdegegnerin</w:t>
      </w:r>
    </w:p>
    <w:p>
      <w:r>
        <w:t>zurückgewiesen wird, damit sie im Sinne der Erwägungen verfahre und hernach über den Anspruch des Beschwerdeführers auf Arbeitslosenentschädigung neu verfüge.</w:t>
      </w:r>
    </w:p>
    <w:p>
      <w:r>
        <w:t>2.</w:t>
      </w:r>
    </w:p>
    <w:p>
      <w:r>
        <w:t>Das Verfahren ist kostenlos. 3.</w:t>
      </w:r>
    </w:p>
    <w:p>
      <w:r>
        <w:t>Die Beschwerdegegnerin wird verpflichtet, dem Beschwerdeführer eine Prozessent schä di gung von Fr. 2'000. -- (inkl. Barauslagen und MWSt) zu bezahlen. 4.</w:t>
      </w:r>
    </w:p>
    <w:p>
      <w:r>
        <w:t>Zustellung gegen Empfangsschein an: - Rechtsanwältin Susanne von Aesch - Arbeitslosenkasse des Kantons Zürich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