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AL.2020.00053 vom 19. Februar 2021</w:t>
      </w:r>
    </w:p>
    <w:p>
      <w:r>
        <w:t>ZH Sozialversicherungsgericht, 2021-02-19, DE</w:t>
      </w:r>
    </w:p>
    <w:p>
      <w:r>
        <w:rPr>
          <w:b/>
        </w:rPr>
        <w:t xml:space="preserve">Quelle: </w:t>
      </w:r>
      <w:r>
        <w:t>https://mcp.opencaselaw.ch/entscheid/zh_sozialversicherungsgericht_AL.2020.00053</w:t>
      </w:r>
    </w:p>
    <w:p>
      <w:r>
        <w:t>FR: ZH_SOZIALVERSICHERUNGSGERICHT AL.2020.00053 du 19 février 2021</w:t>
      </w:r>
    </w:p>
    <w:p>
      <w:r>
        <w:t>IT: ZH_SOZIALVERSICHERUNGSGERICHT AL.2020.00053 del 19 febbraio 2021</w:t>
      </w:r>
    </w:p>
    <w:p>
      <w:pPr>
        <w:pStyle w:val="Heading2"/>
      </w:pPr>
      <w:r>
        <w:t>Erwägungen</w:t>
      </w:r>
    </w:p>
    <w:p>
      <w:r>
        <w:rPr>
          <w:b/>
        </w:rPr>
        <w:t>E. 1</w:t>
      </w:r>
    </w:p>
    <w:p>
      <w:r>
        <w:t>Der 196 0 geborene X.___</w:t>
      </w:r>
    </w:p>
    <w:p>
      <w:r>
        <w:t>meldete sich am 29. Mai 2017 beim Regio nalen Arbeitsvermittlungszentrum (RAV), wobei die Rahmenfrist für den Leis tungsbezug infolge Verlängerung des Arbeitsverhältnisses und Bezug von Tag geldern der Krankentaggeldversicherung am 1. August</w:t>
      </w:r>
    </w:p>
    <w:p>
      <w:r>
        <w:t>2018 eröffnet wurde (Urk. 3/18 und Urk. 6/5). Mit Arbeitsvertrag vom 6. November 2019 wurde X.___ als Kaufmann und Treuhänder in der Y.___ GmbH</w:t>
      </w:r>
    </w:p>
    <w:p>
      <w:r>
        <w:t>angestellt (Urk. 3/14) . X.___ gründete diese GmbH im Jahr 2003 (Urk. 6/3). Am 11. Oktober 2019 stellte X.___</w:t>
      </w:r>
    </w:p>
    <w:p>
      <w:r>
        <w:t>beim RAV ein Gesuch um Gewährung von Einarbeitungszuschüsse n für die Zeit vom 1. Dezem ber 20 19 bis 1. Mai 2020 (Urk. 3/16), welches mit Verfügung vom 20. November 2019 abgelehnt wurde (Urk. 3/2) . Die dagegen von X.___ am 6. Januar 2020 erhobene Einsprache (Urk. 3/1) wies das Amt für Wirtschaft und Arbeit (AWA) mit Einspracheentscheid vom 8. Januar 2020 ab (Urk. 2).</w:t>
      </w:r>
    </w:p>
    <w:p>
      <w:r>
        <w:rPr>
          <w:b/>
        </w:rPr>
        <w:t>E. 1.1</w:t>
      </w:r>
    </w:p>
    <w:p>
      <w:r>
        <w:t>Gemäss Art. 1a Abs.</w:t>
      </w:r>
    </w:p>
    <w:p>
      <w:r>
        <w:rPr>
          <w:b/>
        </w:rPr>
        <w:t>E. 1.2</w:t>
      </w:r>
    </w:p>
    <w:p>
      <w:r>
        <w:t>Zu den arbeitsmarktlichen Massnahmen gehören auch die Einarbeitungs zu sc hüsse. Damit soll versicherten Personen, deren Vermittlung erschwert ist, im Hinblick auf eine definitive Anstellung in einem Betrieb für eine Einarbeitungsphase, während der diese Personen einen verminderten Lohn erhalten, Einarbei tungs zuschüsse gewährt werden. Diese Massnahme soll die konkrete dauerhafte Wie dereingliederung einer arbeitslosen Person an einem bestimmten Arbeitsplatz fördern (Urteil des Bundesgerichts 8C_363/2014 vom 2 3. September 2014 E. 5.2). Gemäss Art. 65 AVIG können versicherten Personen, deren Vermittlung erschwert ist, für die Einarbeitung in einem Betrieb bei vermindertem Lohn Einarbeitungs zuschüsse gewährt werden, wenn der verminderte Lohn mindestens der während der Einarbeitungszeit erbrachten Arbeitsleistung entspricht ( lit . b) und die ver sicherte Person nach der Einarbeitung mit einer Anstellung zu orts- und bran chenüblichen Bedingungen, allenfalls unter Berücksichtigung einer dauernd ver minderten Leistungsfähigkeit, rechnen kann ( lit . c).</w:t>
      </w:r>
    </w:p>
    <w:p>
      <w:r>
        <w:rPr>
          <w:b/>
        </w:rPr>
        <w:t>E. 2</w:t>
      </w:r>
    </w:p>
    <w:p>
      <w:r>
        <w:t>dieser Bestimmung soll mit arbeitsmarktlichen Massnahmen die Einglie derung von Versicherten, die aus Gründen des Arbeitsmarktes erschwert ver mittel bar sind, gefördert werden. Solche Massnahmen sollen insbesondere: a.</w:t>
      </w:r>
    </w:p>
    <w:p>
      <w:r>
        <w:t>die Vermittlungsfähigkeit der Versicherten verbessern, damit diese rasch</w:t>
      </w:r>
    </w:p>
    <w:p>
      <w:r>
        <w:t>und dauerhaft wieder eingegliedert werden können; b.</w:t>
      </w:r>
    </w:p>
    <w:p>
      <w:r>
        <w:t>die beruflichen Qualifikationen entsprechend den Bedürfnissen des</w:t>
      </w:r>
    </w:p>
    <w:p>
      <w:r>
        <w:t>Arbeits markts fördern; c.</w:t>
      </w:r>
    </w:p>
    <w:p>
      <w:r>
        <w:t>die Gefahr von Langzeitarbeitslosigkeit vermindern; oder d.</w:t>
      </w:r>
    </w:p>
    <w:p>
      <w:r>
        <w:t>die Möglichkeit bieten, Berufserfahrungen zu sammeln.</w:t>
      </w:r>
    </w:p>
    <w:p>
      <w:r>
        <w:rPr>
          <w:b/>
        </w:rPr>
        <w:t>E. 2.1</w:t>
      </w:r>
    </w:p>
    <w:p>
      <w:r>
        <w:t>Der Beschwerdegegner verneinte einen Anspruch auf Einarbeitungszuschüsse mit der Begründung, der Beschwerdeführer bringe für die neue Stelle sehr gute Voraussetzungen mit und es sei kein ausserordentlicher Einarbeitungsaufwand zu erkennen . Als Inhaber der Firma Y.___ GmbH habe er arbeitgeberähnliche Stellung und somit massgebl ich e n E influss auf die Ent scheidfindung im Betrieb (Urk. 2).</w:t>
      </w:r>
    </w:p>
    <w:p>
      <w:r>
        <w:rPr>
          <w:b/>
        </w:rPr>
        <w:t>E. 2.2</w:t>
      </w:r>
    </w:p>
    <w:p>
      <w:r>
        <w:t>Der Beschwerdeführer stellte sich demgegenüber im Wesentlichen auf den Stand punkt, die Voraussetzungen der Gewährung von Einarbeitungszuschüssen seien insofern erfüllt, als die neue Tätigkeit als Treuhänder auch aufgrund der ver schie denen kantonalen Gegebenheiten ein anspruchsvolles Tätigkeitsfeld darstelle und hierfür eine ausserordentliche Einarbeitungszeit und -aufwand benötigt werde . Seine bisherige Dozententätigkeit bringe kein solch es spezifisches Fachwissen - entgegen der Annahme des Beschwerdegegners – mit sich . Zudem habe sich der</w:t>
      </w:r>
    </w:p>
    <w:p>
      <w:r>
        <w:t>Be schwerdegegner nicht mit allen von</w:t>
      </w:r>
    </w:p>
    <w:p>
      <w:r>
        <w:t>ihm vorgebrachten Punkten auseinander gesetzt und sei eine Auseinandersetzung mit seiner Einsprache aufgrund der kurzen Zeitspanne zwischen deren Erhebung und dem Erlass des Einspracheent scheids zu bezweifeln (Urk. 1).</w:t>
      </w:r>
    </w:p>
    <w:p>
      <w:r>
        <w:rPr>
          <w:b/>
        </w:rPr>
        <w:t>E. 2.3</w:t>
      </w:r>
    </w:p>
    <w:p>
      <w:r>
        <w:t>In der Beschwerdeantwort vom 4. März 2020 (Urk. 5) führte der Beschwerde geg ner aus, dass eine erschwerte Vermittelbarkeit aufgrund ungenügender beruf licher Voraussetzungen nicht gegeben sei, da der Beschwerdeführer aufgrund seiner Ausbildungen und seiner bisherigen beruflichen Tätigkeiten für die neue Stelle sehr gute Voraussetzungen mit sich bringe und anhand des Einarbei tungs plans kein ausserordentlicher Einarbeitungsaufwand ersichtlich sei (Urk. 5 S. 5 f.) . Der Einarbeitungsplan entspreche zudem nicht den relevanten Anforderungen (Urk. 5 S. 7). Auch könne aufgrund der Tatsache, dass der Beschwerdeführer zugleich Arbeitnehmer und Arbeitgeber sei, nicht ausgeschlossen werden, dass die Einarbeitungszuschüsse nicht nur als wirtschaftlicher Vorteil genutzt würden (Urk. 6 S. 8-11).</w:t>
      </w:r>
    </w:p>
    <w:p>
      <w:r>
        <w:rPr>
          <w:b/>
        </w:rPr>
        <w:t>E. 3</w:t>
      </w:r>
    </w:p>
    <w:p>
      <w:r>
        <w:t>Vorerst gilt es die sinngemäss gerügte Verletzung des rechtlichen Gehörs , wonach sich der Beschwerdegegner nicht mit allen Vorbringen auseinandergesetzt habe</w:t>
      </w:r>
    </w:p>
    <w:p>
      <w:r>
        <w:t>(E. 2.2) zu prüfen.</w:t>
      </w:r>
    </w:p>
    <w:p>
      <w:r>
        <w:t>Gemäss Art. 52 Abs. 2 Satz 2 des Bundesgesetzes über den Allgemeinen Teil des Sozialversicherungsrechts, ATSG, werden Einspracheentscheide begründet. 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auseinandersetzen muss; vielmehr kann sie sich auf die für den Entscheid wesentlichen Gesichtspunkte beschränken (BGE 126 V 75 E. 5b/ dd mit Hinweis, 118 V 56 E. 5b).</w:t>
      </w:r>
    </w:p>
    <w:p>
      <w:r>
        <w:t>Im Lichte dieser Rechtsprechung kann eine Verletzung des rechtlichen Gehörs nicht erblickt werden, hat doch der Beschwerdegegner den angefochtenen Ent scheid - wenn auch kurz - doch immerhin soweit begründet, dass dem Beschwer deführer eine sachgerechte Anfechtung möglich war. Hinzu kommt, dass der Be schwerdegegner mit Beschwerdeantwort vom 4. März 2020 (Urk. 5) ausführlich Stellung nahm, wozu sich der Beschwerdeführer nicht weiter äusserte. Angesichts des Umstandes, dass der Beschwerdeführer i m vorliegenden Beschwerdeverfahren vor einem den Sachverhalt und die Rechtslage frei prüfenden Gericht (vgl. Art. 61 lit . c und d ATSG; BGE 132 V 387 E. 5.1 ) umfassend Stellung nehmen, sich zu allen Aspekten des Verfahrens äussern und n eue Beweismittel einbringen konnte , wäre eine allfällige Verletzung des rechtlichen Gehörs - da nicht besonders schwer wiegen d –</w:t>
      </w:r>
    </w:p>
    <w:p>
      <w:r>
        <w:t>ohnehin als im vorliegende n Rechtsmittelverfahren geheilt zu betrachten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