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AL.2019.00294 vom 13. November 2018</w:t>
      </w:r>
    </w:p>
    <w:p>
      <w:r>
        <w:t>ZH Sozialversicherungsgericht, 2018-11-13, DE</w:t>
      </w:r>
    </w:p>
    <w:p>
      <w:r>
        <w:rPr>
          <w:b/>
        </w:rPr>
        <w:t xml:space="preserve">Quelle: </w:t>
      </w:r>
      <w:r>
        <w:t>https://mcp.opencaselaw.ch/entscheid/zh_sozialversicherungsgericht_AL.2019.00294</w:t>
      </w:r>
    </w:p>
    <w:p>
      <w:r>
        <w:t>FR: ZH_SOZIALVERSICHERUNGSGERICHT AL.2019.00294 du 13 novembre 2018</w:t>
      </w:r>
    </w:p>
    <w:p>
      <w:r>
        <w:t>IT: ZH_SOZIALVERSICHERUNGSGERICHT AL.2019.00294 del 13 novembre 2018</w:t>
      </w:r>
    </w:p>
    <w:p>
      <w:pPr>
        <w:pStyle w:val="Heading2"/>
      </w:pPr>
      <w:r>
        <w:t>Erwägungen</w:t>
      </w:r>
    </w:p>
    <w:p>
      <w:r>
        <w:rPr>
          <w:b/>
        </w:rPr>
        <w:t>E. 2</w:t>
      </w:r>
    </w:p>
    <w:p>
      <w:r>
        <w:t>Nichtigkeit des Entscheids tritt nach ständiger Rechtsprechung ein, wenn der ih m anhaftende Mangel besonders schwer ist, er offensichtlich oder zumindest leicht erkennbar ist und zudem die Rechtssicherheit durch die Annahme der Nichtigkeit nicht ernsthaft gefährdet wird. Als Nichtigkeitsgründe fallen vorab funktionelle und sachliche Unzuständigkeit der entscheidenden Behörde sowie</w:t>
      </w:r>
    </w:p>
    <w:p>
      <w:r>
        <w:t>krass e Verfah rensfehler in Betracht (vgl. Urteil des Bundesgerichts 9C_245/2015 vom 1 9. Au gust 2015 E. 4.1 mit Hinweisen). Nichtigen Entscheiden geht jede Verbindlichkeit und Rechtswirksamkeit ab. Die Nichtigkeit ist jederzeit und von sämtlichen staat lichen Instanzen von Amtes wegen zu beachten (vgl. BGE 132 II 342 E. 2.1).</w:t>
      </w:r>
    </w:p>
    <w:p>
      <w:r>
        <w:rPr>
          <w:b/>
        </w:rPr>
        <w:t>E. 3</w:t>
      </w:r>
    </w:p>
    <w:p>
      <w:r>
        <w:t>- Arbeitslosenkasse des Kantons Zürich unter Beilage von Urk. 1-3 - seco - Direktion für Arbeit - Amt für Wirtschaft und Arbeit (AWA)</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Gerichtsschreiberin 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