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AL.2018.00106 vom 9. Februar 2017</w:t>
      </w:r>
    </w:p>
    <w:p>
      <w:r>
        <w:t>ZH Sozialversicherungsgericht, 2017-02-09, DE</w:t>
      </w:r>
    </w:p>
    <w:p>
      <w:r>
        <w:rPr>
          <w:b/>
        </w:rPr>
        <w:t xml:space="preserve">Quelle: </w:t>
      </w:r>
      <w:r>
        <w:t>https://mcp.opencaselaw.ch/entscheid/zh_sozialversicherungsgericht_AL.2018.00106</w:t>
      </w:r>
    </w:p>
    <w:p>
      <w:r>
        <w:t>FR: ZH_SOZIALVERSICHERUNGSGERICHT AL.2018.00106 du 9 février 2017</w:t>
      </w:r>
    </w:p>
    <w:p>
      <w:r>
        <w:t>IT: ZH_SOZIALVERSICHERUNGSGERICHT AL.2018.00106 del 9 febbraio 2017</w:t>
      </w:r>
    </w:p>
    <w:p>
      <w:pPr>
        <w:pStyle w:val="Heading2"/>
      </w:pPr>
      <w:r>
        <w:t>Erwägungen</w:t>
      </w:r>
    </w:p>
    <w:p>
      <w:r>
        <w:rPr>
          <w:b/>
        </w:rPr>
        <w:t>E. 2</w:t>
      </w:r>
    </w:p>
    <w:p>
      <w:r>
        <w:t>S. 2 f.). 3.2</w:t>
      </w:r>
    </w:p>
    <w:p>
      <w:r>
        <w:t>Demgegenüber machte der Beschwerdeführer in seiner Beschwerdeschrift vom 1. April 2018 geltend , dass es ihm aufgrund seines knappen Budgets nicht mög l ich sei, den Betrag von Fr. 2'63 2.85 zurückzuerstatten. Die an ihn ausbezahlte Arbeitslosenentschädigung habe er zudem immer rückwirkend erhalten und er sei daher gutgläubig davon ausgegangen, dass ihm diese auch tatsächlich zustehe. Daher sei die Rückforderung zu erlassen ( Urk. 1).</w:t>
      </w:r>
    </w:p>
    <w:p>
      <w:r>
        <w:rPr>
          <w:b/>
        </w:rPr>
        <w:t>E. 4.1</w:t>
      </w:r>
    </w:p>
    <w:p>
      <w:r>
        <w:t>Sowohl die Unrechtmässigkeit des Bezuges der zurückgeforderten Arbeitslo senentschädigung als auch die Rechtmässigkeit der Rückforderung in der Höhe von Fr. 2'632.85 sind rech tskräftig festgestellt ( vgl. Urk. 6/7, 6/17 ). Zu prüfen bleibt im vorliegenden Verfahren einzig, ob die Voraussetzungen für einen Erlass der Rückerstattung (vgl. E. 2 vorstehend) gegeben sind.</w:t>
      </w:r>
    </w:p>
    <w:p>
      <w:r>
        <w:rPr>
          <w:b/>
        </w:rPr>
        <w:t>E. 4.2</w:t>
      </w:r>
    </w:p>
    <w:p>
      <w:r>
        <w:t>Aufgrund der Akten besteht kein Grund zur Annahme, dass der Beschwerdeführer um die Unrechtmässigkeit des Leistungsbezugs gewusst oder die Auszahlung der nun zurückgeforderten Leistungen der Arbeitslosenversicherung mit böswilliger Absicht oder Arglist erwirkt hätte. Zu klären bleibt daher, ob ihm der gute Glaube abgesprochen werden muss, weil er die unter den konkreten Umständen gebotene Aufmerksamkeit vermissen liess und dadurch die Ausrichtung der unrechtmässig bezogenen Leistungen nicht verhindert hat.</w:t>
      </w:r>
    </w:p>
    <w:p>
      <w:r>
        <w:rPr>
          <w:b/>
        </w:rPr>
        <w:t>E. 4.3</w:t>
      </w:r>
    </w:p>
    <w:p>
      <w:r>
        <w:t>Das AWA wirft dem Beschwerdeführer vor, dass er die für die Kontrollperioden Dezember 2016 und Januar 2017 ausgerichtete Arbeitslosenentschädigung ent gegengenommen habe, ohne die entsprechenden Abrechnungen mit gebührender Sorgfalt geprüft und die Arbeitslosenkasse auf deren Fehlerhaftigkeit hingewie sen zu haben ( Urk. 2 S. 3). Di e Abrechnungen datier en vom 4. Januar und 1. Februar 2017 ( Urk.</w:t>
      </w:r>
    </w:p>
    <w:p>
      <w:r>
        <w:rPr>
          <w:b/>
        </w:rPr>
        <w:t>E. 4.4</w:t>
      </w:r>
    </w:p>
    <w:p>
      <w:r>
        <w:t>Nach dem Gesagten ist festzuhalten, dass dem Beschwerdeführer hinsichtlich des Leistungsbezugs in den Kontrollperioden Dezember 2016 und Januar 2017 mit überwiegender Wahrscheinlichkeit das Unrechtbewusstsein fehlte. Wenn über haupt, kann ihm diesbezüglich nur eine leichte Fahrläs sigkeit und jedenfalls keine grobe Nachlässigkeit vorgeworfen werden. Er beruft sich somit zu Recht darauf, die Arbeitslosenentschädigung gutgläubig entgegengenommen zu haben.</w:t>
      </w:r>
    </w:p>
    <w:p>
      <w:r>
        <w:t>Damit hat der Beschwerdeführer den Betrag von Fr. 2'632.85 dann nicht zurück zuerstatten, wenn dies für ihn eine grosse Härte bedeute t . Diese zweite Erlass voraussetzung hat der Beschwerdegegner im angefochtenen Einspracheentscheid offengelassen (vgl. Urk. 2 S. 3), weshalb die Sache an ihn zurückzuweisen ist, damit er diese prüfe und hernach über das Erlassgesuch neu entscheide. Der Einzelrichter erkennt: 1.</w:t>
      </w:r>
    </w:p>
    <w:p>
      <w:r>
        <w:t>Die Beschwerde wird in dem Sinne gutgeheissen, dass der Einspracheentscheid des AWA vom 22. März 2018 unter Bejahung des guten Glaubens des Beschwerdeführers beim Leistungsbezug aufgehoben und die Sache an den Beschwerdegegner zurückgewiesen wird, damit dieser nach Prüfung des Vorliegens einer grossen Härte erneut über das Erlassgesuch entscheide. 2.</w:t>
      </w:r>
    </w:p>
    <w:p>
      <w:r>
        <w:t>Das Verfahren ist kostenlos. 3.</w:t>
      </w:r>
    </w:p>
    <w:p>
      <w:r>
        <w:t>Zustellung gegen Empfangsschein an: - X.___ - Amt für Wirtschaft und Arbeit (AWA) - seco - Direktion für Arbeit sowie an: - Arbeitslosenkasse Unia</w:t>
      </w:r>
    </w:p>
    <w:p>
      <w:r>
        <w:t>Z.___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EinzelrichterDer Gerichtsschreiber BachofnerWürsch</w:t>
      </w:r>
    </w:p>
    <w:p>
      <w:r>
        <w:rPr>
          <w:b/>
        </w:rPr>
        <w:t>E. 8</w:t>
      </w:r>
    </w:p>
    <w:p>
      <w:r>
        <w:t>und 10) und wurden dem Beschwerdeführer somit vor der Verfügung betreffend Einstellung in der Anspruchsberechtigung für 36 Tage, wel che am 1 0. Februar 2017 versandt wurde ( Urk. 6/17), zur Kenntnis gebracht. Zwar ist dem AWA insofern beizupflichten, als der Beschwerdeführer mit Einstelltagen rechnen musste , nachdem er am 28. Dezember 2016 infolge Verschlafens nicht zu einem Probearbeitstag erschien en war und in der Folge eine potentielle Ar beitsstelle nicht erh alten hatte (vgl. Urk. 6/17, 6/28 S. 2). Trotzdem kann nicht darauf geschlossen, dass er sich einer groben Nachlässigkeit schuldig gemacht hat, indem er die Arbeitslosenentschädigung für die Monate Dezember 2016 und Januar 2017 in Empfang nahm . So hatte der Beschwerdeführer zum massgeben den Zeitpunkt des Leistungsbezugs nachweislich keine Kenntnis über die konkrete Anzahl der Einstelltage. Von ihm a ls ausgebildeter Detailhandelsassistent (vgl. Urk. 6/28 S.</w:t>
      </w:r>
    </w:p>
    <w:p>
      <w:r>
        <w:rPr>
          <w:b/>
        </w:rPr>
        <w:t>E. 10</w:t>
      </w:r>
    </w:p>
    <w:p>
      <w:r>
        <w:t>u.) und juristischer Laie konnte auch nicht erwartet werden, dies vorgängig in Erfahrung zu bringen. Entgegen der Auffassung des AWA</w:t>
      </w:r>
    </w:p>
    <w:p>
      <w:r>
        <w:t>kann dem Beschwerdeführer in diesem Zusammenhang auch nicht angelastet werden, dass er zuvor mit Verfügungen vom 1 4. August und 2 9. Oktober 2012 bereits in der Anspruchsberechtigung eingestellt worden war (vgl. Urk. 6/22 f.). Diese Sanktio nen erfolgten einerseits aus anderen Gründen, nämlich aufgrund ungenügender persönlicher Arbeitsbemühungen. Andererseits wurden dem Beschwerdeführer im Vergleich zur Verfügung vom 9. Februar 2017 deutlich weniger Einstelltage – drei respektive vier – auferlegt. Selbst i n Anbetracht dessen, dass dem Beschwer deführer bekannt war, dass ihm ab Februar 2017 nur noch 17 Taggelder zustan den (vgl. Urk. 6/10, 6/28 S. 2 f.) , musste er folglich auch angesichts seiner bishe rigen Erfahrungen bei Aufwendung der gebotenen Sorgfalt im Zeitpunkt des Leis tungsbezugs nicht damit rechnen, dass die Arbeitslosenkasse zusätzlich noch im Dezember 2016 und Januar 2017 ausgerichtete Taggelder zurückfordern wird.</w:t>
      </w:r>
    </w:p>
    <w:p>
      <w:r>
        <w:t>Daran vermag im Übrigen auch der vom Beschwerdegegner betonte Umstand , wonach der Beschwerdeführer insbesondere im Dezember 2015 anlässlich einer Informationsveranstaltung über die Konsequenzen bei fehlbarem Verhalten auf geklärt worden sei (vgl. Urk. 2 S. 2 f.), nichts zu ändern.</w:t>
      </w:r>
    </w:p>
    <w:p>
      <w:r>
        <w:t>Gemäss bundesgericht licher Praxis sind Sanktionsandrohungen allein nicht geeignet, den guten Glau ben der versicherten Person zu zerstören (Urteil des Bundesgerichts 8C_269/2009 vom 1 3. November 2009 E. 5.2.1).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