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AL.2018.00084 vom 9. August 2018</w:t>
      </w:r>
    </w:p>
    <w:p>
      <w:r>
        <w:t>ZH Sozialversicherungsgericht, 2018-08-09, DE</w:t>
      </w:r>
    </w:p>
    <w:p>
      <w:r>
        <w:rPr>
          <w:b/>
        </w:rPr>
        <w:t xml:space="preserve">Quelle: </w:t>
      </w:r>
      <w:r>
        <w:t>https://mcp.opencaselaw.ch/entscheid/zh_sozialversicherungsgericht_AL.2018.00084</w:t>
      </w:r>
    </w:p>
    <w:p>
      <w:r>
        <w:t>FR: ZH_SOZIALVERSICHERUNGSGERICHT AL.2018.00084 du 9 août 2018</w:t>
      </w:r>
    </w:p>
    <w:p>
      <w:r>
        <w:t>IT: ZH_SOZIALVERSICHERUNGSGERICHT AL.2018.00084 del 9 agosto 2018</w:t>
      </w:r>
    </w:p>
    <w:p>
      <w:pPr>
        <w:pStyle w:val="Heading2"/>
      </w:pPr>
      <w:r>
        <w:t>Erwägungen</w:t>
      </w:r>
    </w:p>
    <w:p>
      <w:r>
        <w:rPr>
          <w:b/>
        </w:rPr>
        <w:t>E. 1.1</w:t>
      </w:r>
    </w:p>
    <w:p>
      <w:r>
        <w:t>Gemäss Art. 51 Abs. 1 des Bundesgesetzes über die obligatorische Arbeits 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 verhältnis vor der Konkurseröffnung aufgelöst wird ( BGE 114 V 56</w:t>
      </w:r>
    </w:p>
    <w:p>
      <w:r>
        <w:t>E. 4 mit Hin weisen; Urteile des Bundesgerichts 8C_66/2013 vom 1 8. November 2013 E. 4.1 und 8C_211/2014 vom 1 7. Juli 2014 E. 6.1 ). Eine ursprüngliche Leistungsverweigerung infolge Verletzung der Schadenminderungspflicht setzt voraus, dass der versicherten Person ein schweres Verschulden, also vorsätzliches oder grob fahr lässiges Handeln oder Unterlassen vorgeworfen werden kann. Dem Erfordernis der Verhältnismässigkeit ist mit dem Ausmass der von den Arbeitnehme r n</w:t>
      </w:r>
    </w:p>
    <w:p>
      <w:r>
        <w:t>zu erwartenden Vorkehrungen Rechnung zu tragen , welche sich nach den jeweiligen Umständen des Einzelfalls richtet (Urteile des Bundesgerichts 8C_66/2013 vom 18. November 2013 E. 4.1, 8C_211/2014 vom 17. Juli 2014 E. 6.1 und 8C_ 641/2014 vom 27. Januar 2015 E. 4.1 ) .</w:t>
      </w:r>
    </w:p>
    <w:p>
      <w:r>
        <w:rPr>
          <w:b/>
        </w:rPr>
        <w:t>E. 1.3</w:t>
      </w:r>
    </w:p>
    <w:p>
      <w:r>
        <w:t>Vom Arbeitnehmer wird in der Regel nicht verlangt, dass er bereits während des bestehenden Arbeitsverhältnisses gegen den Arbeitgeber Betreibung einleitet oder eine Klage einreicht. Er hat jedoch seine Lohnforderung gegenüber dem Arbeit geber in eindeutiger und unmissverständlicher Weise geltend zu machen. Zu weitergehenden Schritten ist die versicherte Person dann gehalten, wenn es sich um erhebliche Lohnausstände handelt und sie konkret mit einem Lohnverlust rechnen muss. Denn es geht auch für die Zeit vor Auflösung des Arbeits ver hältnisses nicht an, dass die versicherte Person ohne hinreichenden Grund wäh rend längerer Zeit keine rechtlichen Schritte zur Realisierung erheblicher Lohn ausstände unternimmt, obschon sie konkret mit dem Verlust der geschuldeten Gehälter rechnen muss (Urteil des Eidgenössischen Versicherungsgericht C 264/04</w:t>
      </w:r>
    </w:p>
    <w:p>
      <w:r>
        <w:t>vom 20. Juli 2005 E. 2.1 mit weiteren Hinweisen).</w:t>
      </w:r>
    </w:p>
    <w:p>
      <w:r>
        <w:rPr>
          <w:b/>
        </w:rPr>
        <w:t>E. 1.4</w:t>
      </w:r>
    </w:p>
    <w:p>
      <w:r>
        <w:t>Gemäss einem allgemeinen Grundsatz des Sozialversicherungsrechts kann die Verwaltung auf formell rechtskräf tige Verfügungen oder Einspracheentscheide, die nicht Gegenstand materieller richterlicher Beurteilung gebildet haben, zurück kommen, wenn sie zweifellos unrichtig sind und wenn ihre Berichtigung von erheblicher Bedeutung ist (Art. 53 Abs. 2 ATSG; BGE 133 V 50 E. 4.1).</w:t>
      </w:r>
    </w:p>
    <w:p>
      <w:r>
        <w:rPr>
          <w:b/>
        </w:rPr>
        <w:t>E. 2</w:t>
      </w:r>
    </w:p>
    <w:p>
      <w:r>
        <w:t>Dagegen erhob der Versicherte am 11. März 2018 Beschwerde und beantragte, es sei der Einspracheentscheid vom 14. Februar 2018 (und damit die Verfügungen Nr. 4500030001 sowie Nr. 4800029799) aufzuheben; alles unter Kosten- und Ent schädigungsfolgen zu Lasten der Beschwerdegegnerin (Urk. 1 S. 2).</w:t>
      </w:r>
    </w:p>
    <w:p>
      <w:r>
        <w:t>Mit Beschwerdeantwort vom 4. April 2018 beantragte die Beschwerdegegnerin die Abweisung der Beschwerde (Urk. 5), was dem Beschwerdeführer mit Ver fügung vom 6. April 2018 zur Kenntnis gebracht wurde (Urk. 9). Das Gericht zieht in Erwägung: 1.</w:t>
      </w:r>
    </w:p>
    <w:p>
      <w:r>
        <w:rPr>
          <w:b/>
        </w:rPr>
        <w:t>E. 2.1</w:t>
      </w:r>
    </w:p>
    <w:p>
      <w:r>
        <w:t>Die Beschwerdegegnerin begründete den angefochtenen Einspracheentscheid damit, dass ihr bei der Prüfung der Schadenminderungspflicht dahingehend ein Fehler unterlaufen sei, dass sie allein das Verhalten zwischen der Nachlass stundung und dem Konkurs berücksichtigt habe; massgebend sei aber auch das frühere Verhalten (Urk. 2 S. 4 oben). So habe es der Beschwerdeführer zwischen Januar und November 2015 unterlassen, die Begleichung der offenen und fälligen Löhne zu verlangen oder diesbezüglich rechtliche Schritte einzuleiten; dabei sei höchstens von mündlichen Mahnungen und E-Mails auszugehen. Damit sei von einer Verletzung der Schadenminderungspflicht auszugehen, was zur Rückerstattungs pflicht der ausgerichteten Insolvenzentschädigung in der Höhe von Fr. 20'243.20 führe (S. 5).</w:t>
      </w:r>
    </w:p>
    <w:p>
      <w:r>
        <w:rPr>
          <w:b/>
        </w:rPr>
        <w:t>E. 2.2</w:t>
      </w:r>
    </w:p>
    <w:p>
      <w:r>
        <w:t>Demgegenüber machte der Beschwerdeführer im Wesentlichen geltend, dass er im Januar 2015 eine Betreibung für die offenen Löhne von August bis Dezember 2014 eingeleitet und diese Löhne auch erhalten habe. Zudem habe er die aus stehenden Löhne bei Herrn Z.___ und Frau A.___ mündlich eingefordert, auch habe es einen E-Mailverkehr gegeben, auf welchen er infolge Konkurs der Firma nicht mehr zugreifen könne (Urk. 1 S. 4). Ab 30. April 2015 sei über neue indu strielle Partnerschaften informiert worden, sodass die Betreibung für die Löhne Januar bis Oktober 2015 erst im Oktober 2015 erfolgt sei; die Fortsetzung der eingereichten Betreibung sei an der provisorischen Nachlassungstundung ge schei tert. Nach dem Konkurs habe sich herausgestellt, dass nicht alle eingegan genen Zahlungen zweckentsprechend verwendet worden seien; ein entspre chen des Strafverfahren sei eingeleitet worden. Insgesamt sei er der Auffassung, seiner Schadenminderungspflicht nachgekommen zu sein (S. 5).</w:t>
      </w:r>
    </w:p>
    <w:p>
      <w:r>
        <w:rPr>
          <w:b/>
        </w:rPr>
        <w:t>E. 3</w:t>
      </w:r>
    </w:p>
    <w:p>
      <w:r>
        <w:t>Zustellung gegen Empfangsschein an: - X.___ - Arbeitslosenkasse des Kantons Zürich - seco - Direktion für Arbeit - Amt für Wirtschaft und Arbeit (AWA)</w:t>
      </w:r>
    </w:p>
    <w:p>
      <w:r>
        <w:rPr>
          <w:b/>
        </w:rPr>
        <w:t>E. 3.1</w:t>
      </w:r>
    </w:p>
    <w:p>
      <w:r>
        <w:t>Vorab ist festzuhalten, dass die Beschwerdegegnerin dem Beschwerdeführer für den massgebenden Zeitraum von 1. Juli bis 31. Oktober 2016 Insolvenzent schä di gung im Gesamtbetrag von Fr. 20'243.20 ausgerichtet hat. Zu prüfen ist dem nach im Folgenden nicht allein, ob der Beschwerdeführer seiner Schadenminderungspflicht nachgekommen ist, sondern ob die erfolgte Leistungszusprache als zweifellos unrichtig zu qualifizieren ist und die Beschwerdegegnerin berechtigt war, auf ihre Leistungszusprache zurückzukommen.</w:t>
      </w:r>
    </w:p>
    <w:p>
      <w:r>
        <w:rPr>
          <w:b/>
        </w:rPr>
        <w:t>E. 3.2</w:t>
      </w:r>
    </w:p>
    <w:p>
      <w:r>
        <w:t>Die Beschwerdegegnerin wies in diesem Zusammenhang insbesondere auf die ungenügenden Bemühungen vor der provisorischen Nachlassstundung hin, ins be sondere im Zeitraum zwischen Januar bis November 2015. In diesem Zeitraum war der Beschwerdeführer in ungekündigtem Arbeitsverhältnis bei der Y.___ angestellt, so dass schon allein deshalb geringere Anforderungen an die zumutbare Schadenminderungspflicht gelten (vgl. E. 1.3). Unbestritten ist dabei, dass der Beschwerdeführer nebst der mündlichen Kontaktaufnahme mit dem Arbeitgeber sowohl im Januar 2015 als auch im November 2015 Betrei bungen einleitete. Bezüglich der fehlenden Fortsetzung der Betreibung vom Januar 2015 ist der in Aussicht gestellte wirtschaftliche Aufschwung zu berück sichtigen (vgl. Urk. 7/14 Blatt 21-24). In der Folge wurde der Y.___ auch die provisorische und danach definitive Nachlassstundung gewährt, was eine Fortsetzung der Betreibung vom 5. November 2015 verhinderte.</w:t>
      </w:r>
    </w:p>
    <w:p>
      <w:r>
        <w:t>Auch wenn aufgrund des geschilderten Ablaufs allenfalls von einer Verletzung der Schadenminderungspflicht auszugehen wäre, kann keinesfalls von einer zweifellos unrichtigen Leistungsausrichtung gesprochen werden. Dies umso mehr, als bei der Beurteilung der Schadenminderungspflicht eine Gesamtwürdigung der im Einzelfall gegebenen Umstände vorzunehmen ist. Gerade bei solchen Ermes sens entscheiden ist eine Wiedererwägung aber nur dann zulässig, wenn die neue Ermessensausübung als die klarerweise einzig richtige erscheint (Kieser, ATSG-Kommentar, 3. Auflage, Rz. 55 zu Art. 53). Dies ist vorliegend nicht der Fall, was in Gutheissung der Beschwerde zur ersatzlosen Aufhebung des angefochtenen Einspracheentscheids führt.</w:t>
      </w:r>
    </w:p>
    <w:p>
      <w:r>
        <w:t>Weitergehende Ansprüche des Beschwerdeführers bestehen bei rechtskräftiger Schlussabrechnung vom 20. Juni 2017 (Urk. 2 S. 2) nicht. Das Gericht erkennt: 1.</w:t>
      </w:r>
    </w:p>
    <w:p>
      <w:r>
        <w:t>In Gutheissung der Beschwerde wird der angefochtene Einspracheentscheid vom 14. Februar 2018 ersatzlos aufgehoben.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