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AL.2016.00154 vom 28. Februar 2018</w:t>
      </w:r>
    </w:p>
    <w:p>
      <w:r>
        <w:t>ZH Sozialversicherungsgericht, 2018-02-28, DE</w:t>
      </w:r>
    </w:p>
    <w:p>
      <w:r>
        <w:rPr>
          <w:b/>
        </w:rPr>
        <w:t xml:space="preserve">Quelle: </w:t>
      </w:r>
      <w:r>
        <w:t>https://mcp.opencaselaw.ch/entscheid/zh_sozialversicherungsgericht_AL.2016.00154</w:t>
      </w:r>
    </w:p>
    <w:p>
      <w:r>
        <w:t>FR: ZH_SOZIALVERSICHERUNGSGERICHT AL.2016.00154 du 28 février 2018</w:t>
      </w:r>
    </w:p>
    <w:p>
      <w:r>
        <w:t>IT: ZH_SOZIALVERSICHERUNGSGERICHT AL.2016.00154 del 28 febbraio 2018</w:t>
      </w:r>
    </w:p>
    <w:p>
      <w:pPr>
        <w:pStyle w:val="Heading2"/>
      </w:pPr>
      <w:r>
        <w:t>Erwägungen</w:t>
      </w:r>
    </w:p>
    <w:p>
      <w:r>
        <w:rPr>
          <w:b/>
        </w:rPr>
        <w:t>E. 1.1</w:t>
      </w:r>
    </w:p>
    <w:p>
      <w:r>
        <w:t>Nach Art. 95 Abs. 1 des Bundesgesetzes über die obligatorische Arbeitslosen versicherung und die Insolvenzentschädigung (AVIG) richtet sich die Rückfor derung mit Ausnahme der Fälle von Art. 55 AVIG nach Art. 25 des Bundes gesetzes über den Allgemeinen Teil des Sozialversicherungsrechts (ATSG). Gemäss Art. 25 Abs. 1 ATSG sind unrechtmässig bezogene Leistungen zurückzuer statten. Wer Leistungen in gutem Glauben empfangen hat, muss sie nicht zu rückerstatten, wenn eine grosse Härte vorliegt.</w:t>
      </w:r>
    </w:p>
    <w:p>
      <w:r>
        <w:rPr>
          <w:b/>
        </w:rPr>
        <w:t>E. 1.2</w:t>
      </w:r>
    </w:p>
    <w:p>
      <w:r>
        <w:t>Nach der Rechtsprechung entfällt der gute Glaube als Erlassvoraussetzung von vornherein, wenn der Rückerstattungstatbestand (Melde- oder Auskunfts pflichtverletzung) durch ein arglistiges oder grobfahrlässiges Verhalten her beigeführt wurde. Anderseits kann sich die versicherte Person auf den guten Glauben berufen, wenn ihre fehlerhafte Handlung oder Unter lassung nur eine leichte Verletzung der Melde- oder Aus kunfts pflicht darstellt (BGE 112 V 97 E. 2c mit Hinwei sen).</w:t>
      </w:r>
    </w:p>
    <w:p>
      <w:r>
        <w:t>Das Mass der erforderlichen Sorgfalt beurteilt sich nach einem objektiven Mass stab, wobei aber das den Betroffenen in ihrer Subjektivität Mögliche und Zumutbare (Urteilsfähigkeit, Gesundheitszustand, Bildungsgrad usw.) nicht ausge blendet werden darf (Urteil des Bundesgerichts 8C_670/2014 vom 30. Dezember 2014 E. 4.2.1 mit weiteren Hinweisen). 2.</w:t>
      </w:r>
    </w:p>
    <w:p>
      <w:r>
        <w:rPr>
          <w:b/>
        </w:rPr>
        <w:t>E. 2.1</w:t>
      </w:r>
    </w:p>
    <w:p>
      <w:r>
        <w:t>Der Beschwerdegegner begründete den angefochtenen Einspracheentscheid da mit, dass der Beschwerdeführer zum Zeitpunkt der Anmeldung beim RAV bereits eine Altersrente der AHV vorbezogen habe, weshalb ein Anspruch auf Leistungen der Arbeitslosenversicherung ab dem 1. April 2015 hätte verneint werden müssen. Den Rentenbezug habe der Beschwerdeführer gegenüber der Arbeitslosenkasse im Antrag auf Arbeitslosenentschädigung und in den monat lich auszufüllenden Formularen „Angaben der versicherten Person“ jedoch nicht deklariert. Dass er den Rentenbezug beim Erstgespräch im RAV am 20. Februar 2015 erwähnt habe, lasse sich dem entsprechenden Protokolleintrag nicht entnehmen. Dies sei allerdings ohnehin irrelevant, da er dadurch nicht von der Pflicht entbunden gewesen wäre, den Rentenbezug gegenüber der Arbeitslosenkasse korrekt zu deklarieren. Indem der Beschwerdeführer dies un terlassen habe, habe er sich einer grobfahrlässigen Meldepflichtverletzung schuldig gemacht. Der gute Glaube sei deshalb auszuschliessen, und es erübrige sich die Prüfung, ob eine grosse Härte vorliege (Urk. 2 S. 2).</w:t>
      </w:r>
    </w:p>
    <w:p>
      <w:r>
        <w:rPr>
          <w:b/>
        </w:rPr>
        <w:t>E. 2.2</w:t>
      </w:r>
    </w:p>
    <w:p>
      <w:r>
        <w:t>Der Beschwerdeführer machte demgegenüber geltend, dass er sich per 1. April 2015 arbeitslos gemeldet habe. Beim Erstgespräch im RAV habe er die Inan spruchnahme der vorzeitigen Pension erwähnt. Er bedauere es , wenn er grob fahrlässig gehandelt haben sollte. Die Unterstellung, er habe sich aus dem Erwerbsleben zurückgezogen, weise er aber zurück. Von seiner AHV-Rente von Fr. 230.-- pro Monat könne man nicht leben. Über die Arbeitsvermittlung habe er intensiv eine Stelle gesucht (insgesamt 534 schrift liche Bewerbungen im In- und Ausland). Es sei jedoch zu keinem Vor stel lungs gespräch gekommen. Über dies sei zu berücksichtigen, dass er keine Sozialhilfe beantragt habe, was wahr scheinlich einträglicher gewesen wäre (Urk. 1 und Urk. 6/3).</w:t>
      </w:r>
    </w:p>
    <w:p>
      <w:r>
        <w:rPr>
          <w:b/>
        </w:rPr>
        <w:t>E. 2.3</w:t>
      </w:r>
    </w:p>
    <w:p>
      <w:r>
        <w:t>Mit Urteil AL.2016.00153 vom 21. September 2017 wies das Sozialver sicherungsgericht die Beschwerde des Beschwerdeführers gegen den Ein spracheentscheid der ALK vom 27. Juli 2016 ab (Urk. 9 im Verfahren Nr. AL.2016.00153). Auf die dagegen vom Beschwerdeführer am 29. Dezember 2017 respektive 16. Januar 2018 erhobene Beschwerde trat das Bundesgericht mit Urteil 8C_60/2018 vom 23. Januar 2018 nicht ein (Urk. 12 im Verfahren Nr. AL.2016.00153).</w:t>
      </w:r>
    </w:p>
    <w:p>
      <w:r>
        <w:rPr>
          <w:b/>
        </w:rPr>
        <w:t>E. 3</w:t>
      </w:r>
    </w:p>
    <w:p>
      <w:r>
        <w:t>Zustellung gegen Empfangsschein an: -</w:t>
      </w:r>
    </w:p>
    <w:p>
      <w:r>
        <w:t>X.___ -</w:t>
      </w:r>
    </w:p>
    <w:p>
      <w:r>
        <w:t>Amt für Wirtschaft und Arbeit (AWA) -</w:t>
      </w:r>
    </w:p>
    <w:p>
      <w:r>
        <w:t>seco - Direktion für Arbeit -</w:t>
      </w:r>
    </w:p>
    <w:p>
      <w:r>
        <w:t>Arbeitslosenkasse des Kantons Zürich</w:t>
      </w:r>
    </w:p>
    <w:p>
      <w:r>
        <w:rPr>
          <w:b/>
        </w:rPr>
        <w:t>E. 3.1</w:t>
      </w:r>
    </w:p>
    <w:p>
      <w:r>
        <w:t>Hinsichtlich der Frage der Rechtmässigkeit der Rückforderung der für die Monate April 2015 bis März 2016 ausgerichteten Arbeitslosenentschädigung in der Höhe von netto Fr. 22‘031.30 kann auf das zwischenzeitlich in Rechtskraft erwachsene Urteil AL.2016.00153 vom 21. September 2017 und auf das Urteil des Bundesgerichts 8C_60/2018 vom 23. Januar 2018 verwiesen werden (vgl. Sachverhalt E. 2.3).</w:t>
      </w:r>
    </w:p>
    <w:p>
      <w:r>
        <w:rPr>
          <w:b/>
        </w:rPr>
        <w:t>E. 3.2</w:t>
      </w:r>
    </w:p>
    <w:p>
      <w:r>
        <w:t>Aus dem Eintrag im prozessorientierten Beratungsprotokoll vom 20. Februar 2015 geht nicht hervor, dass der Beschwerdeführer seinem RAV-Berater damals mitgeteilt hätte, dass er bereits eine AHV-Rente vorbezog (Urk. 6/27). Selbst wenn dies aber der Fall gewesen wäre, wäre der Beschwerdeführer – wie der Beschwerdegegner zutreffend bemerkte - verpflichtet gewesen, dies auch ge genüber der zuständigen Arbeitslosenkasse anzugeben. Die entsprechenden Fragen nach dem Bezug einer AHV-Rente im Antrag auf Arbeitslosenent schädigung (Urk. 6/7) und nach dem Bezug von Leistungen einer anderen Sozialversicherung in den monatlichen Formularen „Angaben der versicherten Person“ (hier wird unter anderem explizit auf einen AHV-Rentenvorbezug hin gewiesen; Urk. 6/8-20) hat er jedoch jeweils wahrheitswidrig mit „nein“ beant wortet. Damit hat der Beschwerdeführer eine Meldepflichtverletzung begangen. Da ihm bei Anwendung eines Mindestmasses an Sorgfalt bewusst sein musste, dass ein AHV-Rentenvorbezug hinsichtlich des Anspruchs auf Arbeitslosenent schädigung von Bedeutung ist, hat er sich dabei zumindest grobfahrlässig ver halten. Der gute Glaube bezüglich des Empfangs der Arbeitslosenentschädigung ist damit zu verneinen (vgl. E. 1.2). Entsprechend den Ausführungen des Beschwerdegegners kann bei diesem Ausgang auf eine Härtefallprüfung verzichtet werden.</w:t>
      </w:r>
    </w:p>
    <w:p>
      <w:r>
        <w:rPr>
          <w:b/>
        </w:rPr>
        <w:t>E. 3.3</w:t>
      </w:r>
    </w:p>
    <w:p>
      <w:r>
        <w:t>Der angefochtene Einspracheentscheid erweist sich demnach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