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AL.2016.00122 vom 10. November 2016</w:t>
      </w:r>
    </w:p>
    <w:p>
      <w:r>
        <w:t>ZH Sozialversicherungsgericht, 2016-11-10, DE</w:t>
      </w:r>
    </w:p>
    <w:p>
      <w:r>
        <w:rPr>
          <w:b/>
        </w:rPr>
        <w:t xml:space="preserve">Quelle: </w:t>
      </w:r>
      <w:r>
        <w:t>https://mcp.opencaselaw.ch/entscheid/zh_sozialversicherungsgericht_AL.2016.00122</w:t>
      </w:r>
    </w:p>
    <w:p>
      <w:r>
        <w:t>FR: ZH_SOZIALVERSICHERUNGSGERICHT AL.2016.00122 du 10 novembre 2016</w:t>
      </w:r>
    </w:p>
    <w:p>
      <w:r>
        <w:t>IT: ZH_SOZIALVERSICHERUNGSGERICHT AL.2016.00122 del 10 novembre 2016</w:t>
      </w:r>
    </w:p>
    <w:p>
      <w:pPr>
        <w:pStyle w:val="Heading2"/>
      </w:pPr>
      <w:r>
        <w:t>Erwägungen</w:t>
      </w:r>
    </w:p>
    <w:p>
      <w:r>
        <w:rPr>
          <w:b/>
        </w:rPr>
        <w:t>E. 1.1</w:t>
      </w:r>
    </w:p>
    <w:p>
      <w:r>
        <w:t>Gemäss Art. 31 Abs. 3 lit . c des Bundesgesetzes über die obligatorische Arbeitslo senversicherung und die Insolvenzentschädigung ( AVIG ) haben Perso nen, die in ihrer Eigenschaft als Gesellschafter, als finanziell am Betrieb Betei ligte oder als Mitglieder eines obersten betrieblichen Entscheidungsgremiums die Entscheidungen des Arbeitgebers bestimmen oder massgeblich beeinflussen können, sowie ihre mitarbeitenden Ehegatten keinen Anspruch auf Kurzarbeits entschädigung . Hinsichtlich des Anspruchs auf Arbeitslosenentschädigung fin 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 bers weiterhin bestimmen oder massgeblich beeinflussen, verfügt sie nach wie vor über die unternehmerische Dispositionsfreiheit, den Betrieb jederzeit zu re aktivieren und sich bei Bedarf erneut als Arbeitnehmer einzustellen. Ein solches Vorgehen läuft auf eine rechtsmissbräuchliche Umgehung der Regelung des Art. 31 Abs.</w:t>
      </w:r>
    </w:p>
    <w:p>
      <w:r>
        <w:rPr>
          <w:b/>
        </w:rPr>
        <w:t>E. 1.2</w:t>
      </w:r>
    </w:p>
    <w:p>
      <w:r>
        <w:t>Eine besondere Situation mit erhöhter Missbrauchsgefahr liegt rechtsprechungs gemäss auch dann vor, wenn verschiedene Firmen, welche von Mitgliedern der gleichen Familie beherrscht werden, ein Firmenkonglomerat bilden. Ein solches ist dann anzunehmen, wenn verschiedene in ihrer Geschäftstätigkeit vergleich bare Firmen eng verflochten sind und fast identisch zusammengesetzte Ent scheidungsgremien aufweisen, so dass sie als ein einziges kompaktes Ganzes erscheinen. Versicherte, die von einem - Teil eines Firmenkonglomerats dar stellenden - Erstbetrieb entlassen wurden, und welche gleichzeitig in einem zum gleichen Konglomerat gehörenden Drittbetrieb eine arbeitgeberähnliche Stellung innehaben, könnten sich bei Bedarf in einem anderen von der Geschäftstätigkeit her vergleichbaren Betrieb des Konglomerats wieder anstellen lassen. Aus die sem Grund gelten diese Personen auch in Bezug auf den Erstbetrieb als arbeit geberähnliche Person. Bei Verlust der Anstellung im Erstbetrieb besteht daher kein Versicherungsschutz. Arbeitslosenversicherungsrechtlich wird ein Firmen konglomerat daher nicht anders behandelt, als eine Firma, welche verschiedene Abteilungen und Betriebe hat (BJM 2003 S. 131; Urteile des Bundesgerichts C 376/99 vom 1 4. März 2001 E. 3 und C 219/02 vom 1 7. März 2003 E. 2.3).</w:t>
      </w:r>
    </w:p>
    <w:p>
      <w:r>
        <w:t>Bei einer solchen Vernetzung der Firmen kann es nicht genügen, um den Umge hungstatbestand nicht zu erfüllen, sich im Handelsregister als Gesellschafter und Geschäftsführer der einen Firma streichen zu lassen, wenn damit die weit reichenden Bestimmungsmöglichkeiten über die Entscheide des anderen Be triebs nicht verloren gehen (Urteil des Bundesgerichts 8C_143/2012 vom 19. September 2012 E. 4.3). 2.</w:t>
      </w:r>
    </w:p>
    <w:p>
      <w:r>
        <w:rPr>
          <w:b/>
        </w:rPr>
        <w:t>E. 2</w:t>
      </w:r>
    </w:p>
    <w:p>
      <w:r>
        <w:t>Gegen diesen Einspracheentscheid (Urk. 2) erhob X.___ am 6. Juli 2016 Besch werde und beantragte sinngemäss die Anerkennung seiner Anspruchsberechtigung ab 1. März 2016 (Urk. 1). Die Arbeitslosenkasse des Kantons Zürich schloss am 11. August 2016 auf Abweisung der Beschwerde (vgl. Beschwerdeantwort, Urk. 8), was dem Beschwerdeführer am 16. August 2016 zur Kenntnis gebracht wurde (Urk. 12). Auf die Ausführungen der Parteien und die eingereichten Unterlagen ist, soweit für die Entscheidfindung erforderlich, in den nachstehenden Erwägungen ein zugehen. Das Gericht zieht in Erwägung: 1.</w:t>
      </w:r>
    </w:p>
    <w:p>
      <w:r>
        <w:rPr>
          <w:b/>
        </w:rPr>
        <w:t>E. 2.1</w:t>
      </w:r>
    </w:p>
    <w:p>
      <w:r>
        <w:t>Die Beschwerdegegnerin verneinte die Anspruchsberechtigung ab 1. März 2016 mit der Begründung, zwar habe der Beschwerdeführer bei seiner ehemaligen Arbeitgeberin Y.___ angesichts seines Ausscheidens aus dem Verwal tungsrat per 12. Februar 2016 und seines Aktienanteils von lediglich noch 1 % mittlerweile keine arbeitgeberähnliche Stellung mehr inne. Auch dem Verwal tungsrat der Z.___ gehöre er seit 2. September 2015 nicht mehr an . Allerdings sei er an dieser Gesellschaft nach wie vor – mit mindestens 33 1 /</w:t>
      </w:r>
    </w:p>
    <w:p>
      <w:r>
        <w:rPr>
          <w:b/>
        </w:rPr>
        <w:t>E. 2.2</w:t>
      </w:r>
    </w:p>
    <w:p>
      <w:r>
        <w:t>Der Beschwerdeführer stellte sich demgegenüber auf den Standpunkt, die Y.___ , gegen welche er im Zusammenhang mit seiner Entlassung Klage beim Bezirksgericht Bülach erhoben habe, sei in einem völlig anderen Geschäftsbereich tätig als die Z.___ , bei der er am 11. August 2014 aus dem Verwaltungsrat abgewählt worden sei . Sein Anteil von 33 1 /</w:t>
      </w:r>
    </w:p>
    <w:p>
      <w:r>
        <w:rPr>
          <w:b/>
        </w:rPr>
        <w:t>E. 3</w:t>
      </w:r>
    </w:p>
    <w:p>
      <w:r>
        <w:t>Zustellung gegen Empfangsschein an: - X.___ - Arbeitslosenkasse des Kantons Zürich - seco - Direktion für Arbeit - Amt für Wirtschaft und Arbeit (AWA)</w:t>
      </w:r>
    </w:p>
    <w:p>
      <w:r>
        <w:rPr>
          <w:b/>
        </w:rPr>
        <w:t>E. 3.1</w:t>
      </w:r>
    </w:p>
    <w:p>
      <w:r>
        <w:t>Nach Lage der Akten steht fest, dass der Beschwerdeführer vom 1. Juli 2009 bis 31. Juli 2015 bei der Y.___ als Geschäftsführer angestellt</w:t>
      </w:r>
    </w:p>
    <w:p>
      <w:r>
        <w:t>(Urk. 9/16) und vom 18. November 2009 bis 12. Februar 2016 Mitglied de ren Verwal tungsrats war</w:t>
      </w:r>
    </w:p>
    <w:p>
      <w:r>
        <w:t>(Urk. 9/26). Seit 8. Februar 2016 besitzt er noch 1 % des Aktien kapitals dieser Gesellschaft (vgl. Anhang zu Urk. 9/29). Ü berdies war er vom 15. Oktober 2013 bis 1. September 2015 Mitglied des Verwaltungsrats der Z.___</w:t>
      </w:r>
    </w:p>
    <w:p>
      <w:r>
        <w:t>(Urk. 9/27), an der er im Zeitpunkt der Gründung mit 50 % und mittlerweile offenbar noch mit 33 1 /</w:t>
      </w:r>
    </w:p>
    <w:p>
      <w:r>
        <w:rPr>
          <w:b/>
        </w:rPr>
        <w:t>E. 3.2</w:t>
      </w:r>
    </w:p>
    <w:p>
      <w:r>
        <w:t>Die Y.___ und die Z.___ haben – wie auch die A.___ – ihren Sitz an der B.___ . Zudem sind sie personell in sofern miteinander verflochten, als Präsident des Verwaltungsrats aller drei Gesellschaften C.___ ist; zudem ist D.___</w:t>
      </w:r>
    </w:p>
    <w:p>
      <w:r>
        <w:t>Verwal tungsratsmitglied sowohl der A.___ als auch der Y.___ (vgl. Han delsregisterauszüge Urk. 9/25-27). Die Z.___ bezweckt gemäss Han delsregisterauszug den Handel mit Produkten, die der Gesundheitsvorsorge, dem körperlichen Wohlbefinden und der Pflege des Menschen dienen (Urk. 9/27 S. 1), die Y.___ die Herstellung und den Vertrieb von pharmazeuti schen, chemischen und hygienischen Produkten, Klima- und Luftreinigungsge räten wie auch Be - und Entfeuchtern, Luftverbesserern und Haushaltprodukten (Urk. 9/26 S. 1). Einen ähnlichen Zweck verfolgte mit der Herstellung und dem Vertri e b von pharmazeutischen, chemischen und hygienischen Produkten ur sprünglich auch die A.___ , die – wie vorübergehend auch die Y.___ , die seit ihrer Gründung zwei Umfirmierungen erfuhr (ursprünglich A.___ und dann bis Ende 2000 E.___ ) – als E.___ firmierte , seit Sommer 2003 eine Beteiligungsgesellschaft ist (Urk. 9/25 S. 1) und 98 % des Aktenkapitals der Y.___ besitzt ( vgl. Anhang zu Urk. 9/29) .</w:t>
      </w:r>
    </w:p>
    <w:p>
      <w:r>
        <w:rPr>
          <w:b/>
        </w:rPr>
        <w:t>E. 3.3</w:t>
      </w:r>
    </w:p>
    <w:p>
      <w:r>
        <w:t>Angesichts der geschilderten Gegebenheiten ging die Beschwerdegegnerin zu Recht davon aus, dass die A.___ , die Y.___ und die Z.___ aufgrund ihrer engen personellen, örtlichen und sachlichen Verbindung ein Konglomerat bilden. Da der Beschwerdeführer nach wie vor – mit mindestens 33 1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