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AL.2016.00020 vom 22. April 2016</w:t>
      </w:r>
    </w:p>
    <w:p>
      <w:r>
        <w:t>ZH Sozialversicherungsgericht, 2016-04-22, DE</w:t>
      </w:r>
    </w:p>
    <w:p>
      <w:r>
        <w:rPr>
          <w:b/>
        </w:rPr>
        <w:t xml:space="preserve">Quelle: </w:t>
      </w:r>
      <w:r>
        <w:t>https://mcp.opencaselaw.ch/entscheid/zh_sozialversicherungsgericht_AL.2016.00020</w:t>
      </w:r>
    </w:p>
    <w:p>
      <w:r>
        <w:t>FR: ZH_SOZIALVERSICHERUNGSGERICHT AL.2016.00020 du 22 avril 2016</w:t>
      </w:r>
    </w:p>
    <w:p>
      <w:r>
        <w:t>IT: ZH_SOZIALVERSICHERUNGSGERICHT AL.2016.00020 del 22 aprile 2016</w:t>
      </w:r>
    </w:p>
    <w:p>
      <w:pPr>
        <w:pStyle w:val="Heading2"/>
      </w:pPr>
      <w:r>
        <w:t>Erwägungen</w:t>
      </w:r>
    </w:p>
    <w:p>
      <w:r>
        <w:rPr>
          <w:b/>
        </w:rPr>
        <w:t>E. 1</w:t>
      </w:r>
    </w:p>
    <w:p>
      <w:r>
        <w:t>7. Dezem ber 2015 setzte die Liquidatorin der Gesellschaft, Z.___ , die Arbeitslosenkasse des Kantons Zürich per Email über den Auflösungsbeschluss und die Löschung der Unterschriftsberechtigung des Versi cherten in Kenntnis (Urk.</w:t>
      </w:r>
    </w:p>
    <w:p>
      <w:r>
        <w:t>7 /17). Mit Entscheid vom 4. Januar 2015 (richtig: 2016) wies die Arbeits losenkasse des Kantons Zürich die Einsprache ab und entschied, dass der Ver si cherte ab 7.</w:t>
      </w:r>
    </w:p>
    <w:p>
      <w:r>
        <w:t>September 2015 keinen Anspruch auf Ar beitslosenentschädigung habe (Urk.</w:t>
      </w:r>
    </w:p>
    <w:p>
      <w:r>
        <w:t>2).</w:t>
      </w:r>
    </w:p>
    <w:p>
      <w:r>
        <w:rPr>
          <w:b/>
        </w:rPr>
        <w:t>E. 2</w:t>
      </w:r>
    </w:p>
    <w:p>
      <w:r>
        <w:t>Gegen den Einspracheentscheid vom 4. Januar 2016 erhob der Versicherte am 2. Februar 2016 Beschwerde mit dem sinngemässen Antrag, dieser sei aufzu heben und es sei der Anspruch auf eine Arbeitslosenentschädigung gestützt auf mit der Beschwerde aufgelegte Unterlagen</w:t>
      </w:r>
    </w:p>
    <w:p>
      <w:r>
        <w:t>erneut zu beurteilen ( Urk. 1). Er legte seiner Beschwerde eine Kopie eines Vertrags vom 30./3 1. Januar 2016 be treffend die Übertragung der Stammant eile ( Urk. 3/2) sowie eine Kopie einer An meldung von Handel s registerm utationen vom 3 0. Januar 2016 ( Urk. 3/1) bei. Mit Beschwerdeantwort vom 1.</w:t>
      </w:r>
    </w:p>
    <w:p>
      <w:r>
        <w:t>März 2016 beantragte die Arbeitslosenkasse des Kantons Zürich , die Beschwerde sei vollumfänglich abzuweisen (Urk. 6) , was dem Be schwerdeführer mit Verfügung vom 7. März 2016 zur Kenntnis gebracht wurde ( Urk. 9).</w:t>
      </w:r>
    </w:p>
    <w:p>
      <w:r>
        <w:rPr>
          <w:b/>
        </w:rPr>
        <w:t>E. 3</w:t>
      </w:r>
    </w:p>
    <w:p>
      <w:r>
        <w:t>lit.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 sen können. Diese Rechtsprechung will nicht bloss dem ausge wiesenen Miss brauch an sich begegnen, sondern bereits dem Risiko eines solchen, welches der Ausrichtung von Arbeitslosenentschädigung an arbeitge berähnliche Personen inhärent ist (Urteile des Bundesgerichts C 255/05 vom 2 5. Januar 2006 und C 92/02 vom 14. April 2003; vgl. Barbara Kupfer Bucher, Rechtsprechung des Bundesgerichts zum Sozialversicherungsrecht, Bundesge setz</w:t>
      </w:r>
    </w:p>
    <w:p>
      <w:r>
        <w:t>über die obligato rische Arbeitslosenversicherung und die Insolvenzent schädi gung , 4. Auflage, Zürich/Basel/Genf 2013, S.</w:t>
      </w:r>
    </w:p>
    <w:p>
      <w:r>
        <w:t>15 ff. mit Hinweisen zur Recht sprechung).</w:t>
      </w:r>
    </w:p>
    <w:p>
      <w:r>
        <w:rPr>
          <w:b/>
        </w:rPr>
        <w:t>E. 3.1</w:t>
      </w:r>
    </w:p>
    <w:p>
      <w:r>
        <w:t>Zu prüfen ist , ob der Beschwerdeführer seine arbeitgeberähnliche Stellung mit der Einleitung der</w:t>
      </w:r>
    </w:p>
    <w:p>
      <w:r>
        <w:t>Liquidation der Gesellschaft , der Einsetzung einer Liquida torin und der Löschung seiner Geschäftsführerfunktion sowie Zeichnungs be rech tigung im Handelsregister per 11.</w:t>
      </w:r>
    </w:p>
    <w:p>
      <w:r>
        <w:t>Dezember 2015 – und damit noch vor Er lass des Einspracheentscheides – aufgegeben hat (vgl. Urk. 7/17 mit Anhäng en ).</w:t>
      </w:r>
    </w:p>
    <w:p>
      <w:r>
        <w:rPr>
          <w:b/>
        </w:rPr>
        <w:t>E. 3.2</w:t>
      </w:r>
    </w:p>
    <w:p>
      <w:r>
        <w:t>Eine entscheidende Rolle kommt dabei dem Umstand zu, dass der B eschwerde führer auch nach diesen</w:t>
      </w:r>
    </w:p>
    <w:p>
      <w:r>
        <w:t>Handelsregisterm utation en alleiniger Gesellschafter der GmbH und Inhaber aller Stammanteile beziehungsweise des gesamten Stamm kapitals</w:t>
      </w:r>
    </w:p>
    <w:p>
      <w:r>
        <w:t>von Fr.</w:t>
      </w:r>
    </w:p>
    <w:p>
      <w:r>
        <w:t>20‘000.-- verblieb . Damit behielt er von Gesetzes wegen seine Eigenschaft als oberstes Or gan der GmbH</w:t>
      </w:r>
    </w:p>
    <w:p>
      <w:r>
        <w:t>(vgl. Art. 804 Abs. 1 des Bundes gesetzes betreffend die Ergänzung des Sch weizerischen Zivilgesetzbuches, Fünf ter Teil: Obligationenrecht, OR). Trotz eingeleiteter Liquidation – nach deren Abschluss die Gesellschaft gelöscht wird ( Art. 826 Abs. 2 i.V.m. Art. 739 ff.</w:t>
      </w:r>
    </w:p>
    <w:p>
      <w:r>
        <w:t>OR ) – konnte der Beschwerdeführer somit das</w:t>
      </w:r>
    </w:p>
    <w:p>
      <w:r>
        <w:t>Geschick der GmbH im Grundsatz weiterhin alleine</w:t>
      </w:r>
    </w:p>
    <w:p>
      <w:r>
        <w:t>bestimmen (Art. 806 Abs. 1 OR) . Daran än dert nicht s , dass die Befug nisse der Organe der Gesellschaft mit dem Eintritt der Liquidation grundsätzlich auf Handlungen beschränkt werden, die für die Durchführung de r Liquidation er forderlich sind und ihrer Natur nach nicht von den Liquidatoren vorgenom men werden können ( Art. 826 Abs. 2 i.V.m. Art.</w:t>
      </w:r>
    </w:p>
    <w:p>
      <w:r>
        <w:t>739 OR). Als allein i ger Gesellschafter wäre es ihm insbesondere trotz Löschung der Zeichnungsbe rechtigung auch möglich gewesen, den Auflösungsbeschluss zu widerrufen (und zwar solange bis mit der Verteilung des Gesellschaftsvermö gens</w:t>
      </w:r>
    </w:p>
    <w:p>
      <w:r>
        <w:t>begonnen wird, vgl. Jean Nicolas Druey , Eva Druey Just, Lukas Glanz mann , Gesellschafts- und Handelsrecht. Begründet von Theo Guhl, 1 1. Auflage, Zürich 2015 ,</w:t>
      </w:r>
    </w:p>
    <w:p>
      <w:r>
        <w:t>S. 220 R z 13) und den Betrieb wieder zu aktivieren oder die von ihm ernannte Liquidatorin</w:t>
      </w:r>
    </w:p>
    <w:p>
      <w:r>
        <w:t>abzuberufen ( Art. 741 Abs. 1 OR) und sich selbst einzusetzen . Da bereits das Risi ko eines Missbrauchs genügt und sich diese Be fugnisse aus dem Gesetz ergeben , hat der Beschwerdeführer seine arbeitge berähnliche Stellung mit den am 1 1. Dezember 2015 angemeldeten Handelsre gistermutationen noch nicht auf ge geben.</w:t>
      </w:r>
    </w:p>
    <w:p>
      <w:r>
        <w:rPr>
          <w:b/>
        </w:rPr>
        <w:t>E. 3.3</w:t>
      </w:r>
    </w:p>
    <w:p>
      <w:r>
        <w:t>Die zeitliche Grenze der gerichtlichen Überprüfungsbefugnis bildet das Datum des Einspracheentscheides (BGE 129 V 167 E. 1). Bis zu diesem Datum hatte der Beschwerdeführer nach dem Gesagten eine arbeitgeberähnliche Stellung inne, weshalb der Entscheid, wonach ihm ab dem 7. September 2015 kein Anspruch auf Arbeitslosenentschädigung zusteht, richtig ist.</w:t>
      </w:r>
    </w:p>
    <w:p>
      <w:r>
        <w:t>Dies führt zur Abweisung der Beschwerde.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