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AL.2015.00264 vom 26. August 2016</w:t>
      </w:r>
    </w:p>
    <w:p>
      <w:r>
        <w:t>ZH Sozialversicherungsgericht, 2016-08-26, DE</w:t>
      </w:r>
    </w:p>
    <w:p>
      <w:r>
        <w:rPr>
          <w:b/>
        </w:rPr>
        <w:t xml:space="preserve">Quelle: </w:t>
      </w:r>
      <w:r>
        <w:t>https://mcp.opencaselaw.ch/entscheid/zh_sozialversicherungsgericht_AL.2015.00264</w:t>
      </w:r>
    </w:p>
    <w:p>
      <w:r>
        <w:t>FR: ZH_SOZIALVERSICHERUNGSGERICHT AL.2015.00264 du 26 août 2016</w:t>
      </w:r>
    </w:p>
    <w:p>
      <w:r>
        <w:t>IT: ZH_SOZIALVERSICHERUNGSGERICHT AL.2015.00264 del 26 agosto 2016</w:t>
      </w:r>
    </w:p>
    <w:p>
      <w:pPr>
        <w:pStyle w:val="Heading2"/>
      </w:pPr>
      <w:r>
        <w:t>Erwägungen</w:t>
      </w:r>
    </w:p>
    <w:p>
      <w:r>
        <w:rPr>
          <w:b/>
        </w:rPr>
        <w:t>E. 1</w:t>
      </w:r>
    </w:p>
    <w:p>
      <w:r>
        <w:t>Der 1974 geborene X.___ bezog während der Rahmenfrist für den Leistungsbezug vom</w:t>
      </w:r>
    </w:p>
    <w:p>
      <w:r>
        <w:t>1. September 2011 bis 31. August 2013 Taggelder der Ar beitslosenversicherung, ohne zu deklarieren , dass er von September 2011 bis Februar 2013 bei der Z.___ tätig war (vgl. Urk. 8/16 f.) . Nach dem die Arbeitslosenkasse IAW im Rahmen von Massnahmen zur Be kämpfung der Schwarzarbeit Kenntnis von diesem Sachverhalt erhalten hatte, forderte sie mit Verfügung vom 9. April 2015 (Urk. 8/5) zu viel ausbezahlte Ar beitslosenents chädigung im Betrag von Fr. 54‘857.55 zurück . Das Amt für Wirtschaft und Arbeit (AWA) verfügte daraufhin am 13. Juli 2015 die Abwei sung des vom Versicherten am 11. Mai 2015 gestellten Erlassgesuchs Urk. 8/9 f. ) . Dessen</w:t>
      </w:r>
    </w:p>
    <w:p>
      <w:r>
        <w:t>hiegegen erhobene Einsprache (Urk. 8/11 ) wies es am 29. Oktober 2015 ab (Urk. 2).</w:t>
      </w:r>
    </w:p>
    <w:p>
      <w:r>
        <w:rPr>
          <w:b/>
        </w:rPr>
        <w:t>E. 2</w:t>
      </w:r>
    </w:p>
    <w:p>
      <w:r>
        <w:t>Gegen diesen Einspracheentscheid (Urk. 2) liess X.___ am 27. No - vember 2015 mit folgenden Anträgen Beschwerde erheben (Urk. 1 S. 2): „Es sei die Verfügung vom 13. Juli 2015 aufzuheben. Die Einzelfallgerechtigkeit b zw. der Gutglaubensschutz gemäss Art. 25</w:t>
      </w:r>
    </w:p>
    <w:p>
      <w:r>
        <w:t>Abs. 1 ATSG sei zu prüfen. Es sei dem Beschwerdeführer die Rückforderung der Arbeitslosenkasse  IAW Winterthur zu erlassen. Dem Beschwerdeführer sei die unentgeltliche Rechtspflege zu gewähren. Unter Kosten- und Entschädigungsfolgen zu Lasten der Beschwerdegeg nerin .“</w:t>
      </w:r>
    </w:p>
    <w:p>
      <w:r>
        <w:t>Das AWA schloss am 7. Januar 2016 auf Abweisung der Beschwerde (vgl. Be schwerdeantwort , Urk. 7), was dem Beschwerdeführer am 11. Januar 2016 zur Kenntnis gebracht wurde (Urk. 9) .</w:t>
      </w:r>
    </w:p>
    <w:p>
      <w:r>
        <w:t>Auf die Ausführungen der Parteien und die eingereichten Unterlagen ist, soweit für die Entscheidfindung erforderlich, in den nachstehenden Erwägungen ein zugehen. Das Gericht</w:t>
      </w:r>
    </w:p>
    <w:p>
      <w:r>
        <w:t>zieht in Erwägung: 1.</w:t>
      </w:r>
    </w:p>
    <w:p>
      <w:r>
        <w:t>Laut Art. 95 Abs. 1 des Bundesgesetzes über die obligatorische Arbeitslosenversi cherung und die Insolvenzentschädigung ( AVIG ) richtet sich die Rückforderung ausser in den – hier nicht interessierenden - Fällen nach Art. 55 und Art. 59c bis</w:t>
      </w:r>
    </w:p>
    <w:p>
      <w:r>
        <w:t>Abs.</w:t>
      </w:r>
    </w:p>
    <w:p>
      <w:r>
        <w:rPr>
          <w:b/>
        </w:rPr>
        <w:t>E. 2.1</w:t>
      </w:r>
    </w:p>
    <w:p>
      <w:r>
        <w:t>Das AWA begründete die Abweisung des Gesuchs um Erlass der Rückforderung damit, dass der Beschwerdeführer die zu Unrecht ausbezahlten Leistungen der Arbeitslosenkasse IAW nicht gutgläubig bezogen habe (vgl. Urk. 2 S. 3 f. ).</w:t>
      </w:r>
    </w:p>
    <w:p>
      <w:r>
        <w:rPr>
          <w:b/>
        </w:rPr>
        <w:t>E. 2.2</w:t>
      </w:r>
    </w:p>
    <w:p>
      <w:r>
        <w:t>Der Beschwerdeführer stellte sich demgegenüber a uf den Standpunkt, der un rechtmässige Leistungsbezug könne ihm nicht zum Vorwurf ge macht werden, da er beim Ausfüllen der Formulare für die relevanten Kontrollperioden</w:t>
      </w:r>
    </w:p>
    <w:p>
      <w:r>
        <w:t>( in Un kenntnis der Rechtslage ) überzeugt davon gewesen war , dass sich die</w:t>
      </w:r>
    </w:p>
    <w:p>
      <w:r>
        <w:t>– „ nicht unmissverständlich formulierte “ – Frage, ob er bei einem oder mehreren Arbeit gebern gearbeitet habe , auf die gemeldete verlorene Arbeit beziehe, worauf er jeweils nach dem „ihm möglichen und zumutbaren Verständnis korrekt“ gean t wortet habe ( Urk. 1 S. 5 ff.).</w:t>
      </w:r>
    </w:p>
    <w:p>
      <w:r>
        <w:t>Da er die Leistungen demnach in gutem Glauben empfangen habe und sich zudem angesichts seiner Einkom mens- und Vermö gensverhältnisse zu einer Rückerstattung ausserstande sehe, seien die Voraus setzungen für den Erlass der Rückforderung erfüllt (S. 7 f. ). 3. 3.1</w:t>
      </w:r>
    </w:p>
    <w:p>
      <w:r>
        <w:t>Was die Frage des gutgläubigen Leistungsbezugs betrifft, liegt guter Glaube nach ständiger Rechtsprechung nicht schon bei Unkenntnis des Rechtsmangels vor. Vielmehr darf sich der Leistungsempfänger nicht nur keiner böswilligen Absicht, sondern auch keiner groben Nachlässigkeit schuldig gemacht haben. Folglich entfällt der gute Glaube von vornherein, wenn die zu Unrecht erfolgte Leistungsausrichtung auf eine arglistige oder grobfahrlässige Melde- oder Aus kunftspflichtverletzung zurückzuführen ist; anderseits kann sich der Rücker stattungspflichtige aber auf den guten Glauben berufen, wenn sein fehlerhaftes Verhalten nur eine leichte Fahrlässigkeit darstellt ( BGE 138 V 218 E. 4 mit Hin weisen).</w:t>
      </w:r>
    </w:p>
    <w:p>
      <w:r>
        <w:t>Der Beschwerdeführer hat seine von September 2011 bis Februar 2013 während der Dauer des Bezugs von Arbeitslosentaggeldern erzielten Erwerbseinkünfte ( Urk. 8/17) der Arbeitslosenkasse IAW damals unbestrittenermassen n icht ge meldet (Urk. 1). Auf dem Formular „Angaben der versicherten Person für den Monat</w:t>
      </w:r>
    </w:p>
    <w:p>
      <w:r>
        <w:t>…“ kreuzte er bei der Frage „Haben Sie bei einem oder mehreren Arbeit gebern gearbeitet“ jeweils – wahrheitswidrig (vgl. Urk. 8/17) – die Antwort „Nein“ an (Urk. 8/ 16). Dass er die – entgegen seiner Darstellung (Urk. 1 S. 6) unmissverständlich formulierte – Frage in dem Sinne falsch verstanden habe, dass er meinte, sie beziehe sich auf seinen früheren Arbeitgeber, erscheint schon deshalb als unglaubhaft, weil eine solche Frage keinen Sinn machen würde und zudem in diesem Fall nicht nach einem oder mehreren Arbeitgebern gefragt würde.</w:t>
      </w:r>
    </w:p>
    <w:p>
      <w:r>
        <w:t>Zu beachten ist sodann, dass der Beschwerdeführer, der sich ab Septem ber 2011 bereits in der dritten Rahmenfrist für den Leistungsbezug befand, seine Zwischenverdiensttätigkeiten in den beiden vorangehenden Rahmenfristen auf den entsprechenden Fragebögen jeweils ordnungsgemäss deklariert (vgl. Urk. 2 S. 4) und die entsprechende Frage auf dem für jede Kontrollperiode auszufül lenden Formular folglich damals durchaus richtig verstanden hatte.</w:t>
      </w:r>
    </w:p>
    <w:p>
      <w:r>
        <w:t>Dass er beim Ausfüllen der Fragebögen für die Kontrollperioden September 2011 bis Februar 2013 überzeugt gewesen sei, „das Richtige zu tun und korrekt zu han deln“ (Urk. 1 S. 6), ist damit widerlegt.</w:t>
      </w:r>
    </w:p>
    <w:p>
      <w:r>
        <w:t>Von einem gutgläubigen Leistungsbezug kann demnach keine Rede sein , zumal auch niemand Vorteile aus seiner eige nen Rechtsunkenntnis ableiten kann (BGE 131 V 196 E. 5.2).</w:t>
      </w:r>
    </w:p>
    <w:p>
      <w:r>
        <w:t>Anzumerken bleibt, dass in Anbetracht dieser Gegebenheiten nicht erstaun t , dass die Nichtdeklaration des Zwischenverdiensts (auch) strafrechtliche Konse quenzen für den Beschwerdeführer hatte. Dabei ging der zuständige Staatsan walt davon aus, dass der Beschwerdeführer die zu Unrecht bezogenen Leistun gen , indem er seine Zwischenverdienstbeschäftigung verschwieg, wissentlich und willentlich erwirk t e und sich damit des Vergehens gegen das AVIG schuldig machte (vgl. Strafbefehl vom 11. November 2015, Urk. 8/15). 3.2</w:t>
      </w:r>
    </w:p>
    <w:p>
      <w:r>
        <w:t>Da die beiden Erlassvoraussetzungen der Gutgläubigkeit und der grossen Härte kumulativ erfüllt sein müssen und das erstgenannte Kriterium nach dem Ge sagten nicht erfüllt ist, kann vorliegend offen blieben, ob die Rückerstattung für den Pflichtigen eine grosse Härte bedeutet (vgl. hiezu Urteil des damaligen Eid genössischen Versicherungsgerichts C 46/01 vom 24. Oktober 2001 E. 3b in fine ). Dass das AWA an der - fristgerecht geltend gemachten (vgl. E. 1 ; Urk. 8/17 und Urk. 8/5 ) - Rück forderung festhielt (Urk. 2), ist daher nicht zu be anstanden.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