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AL.2014.00124 vom 27. November 2014</w:t>
      </w:r>
    </w:p>
    <w:p>
      <w:r>
        <w:t>ZH Sozialversicherungsgericht, 2014-11-27, DE</w:t>
      </w:r>
    </w:p>
    <w:p>
      <w:r>
        <w:rPr>
          <w:b/>
        </w:rPr>
        <w:t xml:space="preserve">Quelle: </w:t>
      </w:r>
      <w:r>
        <w:t>https://mcp.opencaselaw.ch/entscheid/zh_sozialversicherungsgericht_AL.2014.00124</w:t>
      </w:r>
    </w:p>
    <w:p>
      <w:r>
        <w:t>FR: ZH_SOZIALVERSICHERUNGSGERICHT AL.2014.00124 du 27 novembre 2014</w:t>
      </w:r>
    </w:p>
    <w:p>
      <w:r>
        <w:t>IT: ZH_SOZIALVERSICHERUNGSGERICHT AL.2014.00124 del 27 novembre 2014</w:t>
      </w:r>
    </w:p>
    <w:p>
      <w:pPr>
        <w:pStyle w:val="Heading2"/>
      </w:pPr>
      <w:r>
        <w:t>Erwägungen</w:t>
      </w:r>
    </w:p>
    <w:p>
      <w:r>
        <w:rPr>
          <w:b/>
        </w:rPr>
        <w:t>E. 1</w:t>
      </w:r>
    </w:p>
    <w:p>
      <w:r>
        <w:t>X.___ ersuchte am 11. Dezember 2012 um Ausrichtung von Insolvenz - entschädi gung im Betrag von Fr. 5‘473.45 für den Zeitraum vom 25. April bis 23. Juni 2012, nachdem über die Y.___ am 30. Oktober 2012 der Konkurs eröffnet worden war. Die Arbeitslosenkasse des Kantons Zürich verneinte mit Verfügung vom 24. Januar 2013 einen Anspruch auf Insolvenzent schädigung , weil X.___ als Selbständigerwerbende und nicht als anspruchs berechtigte Arbeitnehmerin der Y.___ anzuseh en sei. Die Einsprache von X.___ vom 30. Januar 2013 gegen diese Ver fügung wies die Arbeitslo senkasse mit Entscheid vom 27. März 2013 ab. Im dagegen angehobenen Beschwerdeverfahren (AL.2013.00092) hiess die Einzelrichterin am Sozialversi cherungsgericht des Kantons Zürich am 19. Dezember 2013 die Beschwerde in dem Sinne gut, dass es die Sache zu ergänzenden Abklärungen und neuem Ent scheid an die Beschwerde - gegnerin zurückwies ( zum Ganzen: Urk. 12/12). Nach vorgenommenen Abklärung en wies die Beschwerdegegnerin in der Verfügung vom 25. Februar 2014 den Anspruch erneut ab ( Urk. 12/8). Die Einsprache von X.___ wies sie mit Einspracheentscheid vom 5. Juni 2014 ab ( Urk. 2).</w:t>
      </w:r>
    </w:p>
    <w:p>
      <w:r>
        <w:rPr>
          <w:b/>
        </w:rPr>
        <w:t>E. 2</w:t>
      </w:r>
    </w:p>
    <w:p>
      <w:r>
        <w:t>Abs. 1 lit . a AVIG) das formell rechtskräftig geregelte AHV-Beitragsstatut massgebend, sof ern sich dieses nicht als offen sichtlich unrichtig erweist (BGE 119 V 158 E. 3a mit zahlreichen Hin weisen; vgl. auch BGE 117 V 4 E. 4b).</w:t>
      </w:r>
    </w:p>
    <w:p>
      <w:r>
        <w:rPr>
          <w:b/>
        </w:rPr>
        <w:t>E. 2.1</w:t>
      </w:r>
    </w:p>
    <w:p>
      <w:r>
        <w:t>Gemäss Art. 51 Abs. 1 des Bundesgesetzes über die obligatorische Arbeits - losenentschädigung und die Insolvenzentschädigung (AVIG) haben beitrags-pflichtige Arbeitnehmerinnen und Arbeitnehmer von Arbeitgebern, die in der Schweiz der Zwangsvollstreckung unterliegen oder in der Schweiz Arbeitneh-merinnen und Arbeitnehmer beschäftigen, Anspruch auf Insolvenzentschädi-gung , wenn:</w:t>
      </w:r>
    </w:p>
    <w:p>
      <w:r>
        <w:t>a)</w:t>
      </w:r>
    </w:p>
    <w:p>
      <w:r>
        <w:t>gegen ihren Arbeitgeber der Konkurs eröffnet wird und ihnen in diesem</w:t>
      </w:r>
    </w:p>
    <w:p>
      <w:r>
        <w:t>Zeitpunkt Lohnforderungen zustehen oder</w:t>
      </w:r>
    </w:p>
    <w:p>
      <w:r>
        <w:t>b)</w:t>
      </w:r>
    </w:p>
    <w:p>
      <w:r>
        <w:t>der Konkurs nur deswegen nicht eröffnet wird, weil sich infolge offen -</w:t>
      </w:r>
    </w:p>
    <w:p>
      <w:r>
        <w:t>sichtlicher Überschuldung des Arbeitgebers kein Gläubiger bereit</w:t>
      </w:r>
    </w:p>
    <w:p>
      <w:r>
        <w:t>findet , die Kosten vorzuschiessen, oder</w:t>
      </w:r>
    </w:p>
    <w:p>
      <w:r>
        <w:t>c)</w:t>
      </w:r>
    </w:p>
    <w:p>
      <w:r>
        <w:t>sie gegen ihren Arbeitgeber für Lohnforderungen das Pfändungsbegehren</w:t>
      </w:r>
    </w:p>
    <w:p>
      <w:r>
        <w:t>gestellt haben (BGE 127 V 183 ff., 125 V 492 ff.)</w:t>
      </w:r>
    </w:p>
    <w:p>
      <w:r>
        <w:t>oder bei Bewilligung der Nachlassstundung oder richterlichem</w:t>
      </w:r>
    </w:p>
    <w:p>
      <w:r>
        <w:t>Konkursaufschub ( Art. 58 AVIG).</w:t>
      </w:r>
    </w:p>
    <w:p>
      <w:r>
        <w:rPr>
          <w:b/>
        </w:rPr>
        <w:t>E. 2.2</w:t>
      </w:r>
    </w:p>
    <w:p>
      <w:r>
        <w:t>Gemäss Art.</w:t>
      </w:r>
    </w:p>
    <w:p>
      <w:r>
        <w:rPr>
          <w:b/>
        </w:rPr>
        <w:t>E. 2.3</w:t>
      </w:r>
    </w:p>
    <w:p>
      <w:r>
        <w:t>Nach Art.</w:t>
      </w:r>
    </w:p>
    <w:p>
      <w:r>
        <w:rPr>
          <w:b/>
        </w:rPr>
        <w:t>E. 2.4</w:t>
      </w:r>
    </w:p>
    <w:p>
      <w:r>
        <w:t>Bei einer versicherten Person, die gleichzeitig mehrere Tätigkeiten ausübt, ist jeweils gesondert zu prüfen, ob es sich bei einem Verhältnis um ein solches in unabhängiger oder abhängiger Position handelt. Das Kriterium der Abhängig- keit in betriebswirtschaftlicher bzw. arbeitsorganisatorischer Hinsicht , welches auf eine unselbständige Erwerbstätigkeit hindeutet, konkretisiert sich insbeson-dere danach, ob eine Weisungsbefugnis des Arbeitgebers bestanden hat und eine Präsenzpflicht gegeben war, die Arbeit auf Rechnung und im Namen einer anderen Person sowie</w:t>
      </w:r>
    </w:p>
    <w:p>
      <w:r>
        <w:t>persönlich ausgeführt werden musste.</w:t>
      </w:r>
    </w:p>
    <w:p>
      <w:r>
        <w:t>Charakteristische Merkmale einer selbständigen Erwerbstätigkeit sind die Täti-gung erheblicher Investitionen, die Benützung eigener Geschäftsräumlichkeiten sowie die Beschäftigung von eigenem Personal (BGE 119 V 163 E. 3b). Das spezifische Unternehmerrisiko besteht dabei darin, dass unabhängig vom Ar- beitserfolg Kosten anfallen, die der Versicherte selber zu tragen hat (ZAK 1986 S. 333 E. 2d, 121 E. 2b). Für die Annahme selbständiger Erwerbstätigkeit spricht sodann die gleichzeitige Tätigkeit für mehrere Gesellsc haften in eigenem Na men, ohne indessen von diesen abhängig zu sein (ZAK 1982 S. 215). Mass ge bend ist dabei nicht die rechtliche Möglichkeit, Arbeiten von mehreren Auf trag gebern anzunehmen, sondern die tatsächliche Auftragslage (vgl. ZAK 1982 S. 186 E. 2b). 3.</w:t>
      </w:r>
    </w:p>
    <w:p>
      <w:r>
        <w:t>3.1</w:t>
      </w:r>
    </w:p>
    <w:p>
      <w:r>
        <w:t>Die von der Beschwerdeführerin geltend gemachte Forderung stammt aus der Zeit zwischen 25. April 2012 und 23. Juni 2012. Ihr zu Grunde liegt eine Ver einbarung, die per 1. April 2012 zwischen der Y.___ (Frau Z.___ ) und der Firma A.___</w:t>
      </w:r>
    </w:p>
    <w:p>
      <w:r>
        <w:t>( X.___ ) abgeschlossen worden war . Sie be in haltete, dass die Beschwerdeführerin im Stundenverhältnis „zum Std.-Lohn von Fr. 40 .— netto auf Abrechnung ab 26. März 2012 von A.___ auf unbestimmte Zeit in der Buchhaltung der Y.___ “ arbeite. Es wurde vorgesehen, dass die Beschwerdeführerin jeweils alle zwei Wochen gemäss den geleisteten Stunden Rechnung stellen solle und diese dann von der Y.___ auf ein Konto von A.___ überwiesen werde (Urk. 6/27). 3.2</w:t>
      </w:r>
    </w:p>
    <w:p>
      <w:r>
        <w:t>U nbestrittenermassen hatte die Beschwerdeführerin im Jahr zuvor, also 2011 , für die Y.___ gearbeitet, zunächst vermittelt und deshalb ange stellt beim Temporärbüro</w:t>
      </w:r>
    </w:p>
    <w:p>
      <w:r>
        <w:t>B.___ , das AHV-Beiträge für diese Tätigkeit abge rechnet ha tte (vgl. IK-Auszüge im Verfahren IV .2014.00588, Urk. 18/7/21, 18/7/167: im Jahr 2011: Fr. 1‘201.--; im Jahr 2012: Fr. 6‘359 und Fr. 1‘117) . Als die B.___ von der Y.___ nicht mehr bezahlt worden sei, „ habe sie – die Beschwerdeführerin - dies selbst übernommen “ ( Urk. 1).</w:t>
      </w:r>
    </w:p>
    <w:p>
      <w:r>
        <w:t>Gemäss dieser Vereinbarung stellte die Beschwerdeführerin der Y.___ jeweils Rechnung entsprechend der geltend gemachten Stunden, was aus den Akten der Beschwerdegegnerin hervorgeht. Die Beschwerdeführerin stellte dabei auf einem Briefpapier betitelt mit „ A.___ “ X.___</w:t>
      </w:r>
    </w:p>
    <w:p>
      <w:r>
        <w:t>unter Aufführung der geleisteten Stunden und des erwarteten Betrages Rechnung, unterzeichnet mit A.___ ( Urk. 21/35-38).</w:t>
      </w:r>
    </w:p>
    <w:p>
      <w:r>
        <w:t>Wie die Sozialversicherungsanstalt des Kantons Zürich, Ausgleichskasse, der Beschwerdegegnerin gegenüber am 11. Februar 2014 mitgeteilt hat, ist X.___ dieser seit 2002 tatsächlich auch als selbständig erwerbend im Nebener werb angeschlossen ( Urk. 21/5). X.___ verfügt über eine Webseite im Internet, wo sie ihre Dienstleistungen mit ihrem kleinen Team zu günstigen Konditionen anpreist, darunter Verarbeitung von Buchhaltungsarbeiten im Bereich der Debitorenbuchhaltung, Kreditorenbuchhaltung etc. ( Urk. 21/3).</w:t>
      </w:r>
    </w:p>
    <w:p>
      <w:r>
        <w:t>Die abgeschlossene Vereinbarung zusammen mit dem beschriebenen Auftreten der Versicherten gegen Aussen</w:t>
      </w:r>
    </w:p>
    <w:p>
      <w:r>
        <w:t>sprechen für eine selbständige Tätigkeit der Versicherten bei der Y.___ für den Zeitraum der getroffenen Vereinbarung . Noch deutlicher wird die Situation, wenn man die zusätzlichen Auskünfte der Beschwerdeführerin über die Umstände der Tätigkeit selber, die sie für diese Unternehmung ausgeübt hatte, berücksichtigt. So ist der Beschwer degegnerin darin Recht zu geben, dass die Tatsache, dass die Versicherte die Buchabschlüsse durch „ihre“ Treuhänderin ( Urk. 12/10) hatte durchführen las sen, gegen eine Arbeitnehmereigenschaft der Beschwerdeführerin spricht, sind die Arbeiten als Arbeitnehmerin im Arbeitsvertragsrecht</w:t>
      </w:r>
    </w:p>
    <w:p>
      <w:r>
        <w:t>doch persönlich aus zuführen ( Art. 319, 321a des Obligationenrechts, OR). Offenbar durfte die Beschwerdeführerin jedoch die Arbeitsgestaltung weitgehend selber bestimmen, so – wie dargestellt – eine persönlich e oder fremde Ausführung der Arbeit, die Durchführung gewisser Arbeiten von zu Hause aus sowie die Benützung von eigenem Büromater ial ( Urk. 12/10). Die Tatsache, dass die Versicherte die An weisung erhalten hatte, die Rückstände in der Buchhaltung schnellstmöglich zu beheben, ohne jedoch weitere spezifische Arbeitsanweisungen zu erhalten , spre chen ebenfalls deutlich für eine selbständige Tätigkeit, die einfach im Rahmen des erhaltenen Auftrags zu erledigen war. Dass die Beschwerdeführerin die Hauptarbeit dennoch in den Räumen der Y.___</w:t>
      </w:r>
    </w:p>
    <w:p>
      <w:r>
        <w:t>mit deren Com puter ausführte, schliesst die Selbständigkeit nicht aus, sind doch bei der Buch haltung in der Regel viele buchhalterische Vorkommnisse dort zu überprüfen, wo die Transaktionen stattgefunden haben. Auch wurden keine festen Arbeits zeiten vereinbart, vielmehr stellte die Beschwerdeführerin ,</w:t>
      </w:r>
    </w:p>
    <w:p>
      <w:r>
        <w:t>wie gezeigt wurde, unter Auflistung der benötigten Ze it der A.___ Rechnung.</w:t>
      </w:r>
    </w:p>
    <w:p>
      <w:r>
        <w:t>Dass die Beschwerdeführerin daneben - wie sie darlegte – während der Zeit bei der der Y.___ keine andere n Buchhaltungsarbeiten habe ausführen kön nen ( Urk. 12/10), spricht vorliegend ebenfalls nicht gegen eine Selbständigkeit im strittigen Zeitraum bei der fraglichen Firma, denn wie sich aus den beigezo genen Akten ergibt, war die Beschwerdeführerin in der fraglichen Zeitspanne noch in erheblichem Umfang als unselbständig Erwerbende bei der C.___ und in einem kleinen Umfang bei D.___ tätig, was wohl zu ihrer gesamthaften zeitlichen Auslastung massgeblich beigetragen haben dürfte ( Urk. 18/7/167). 3.3</w:t>
      </w:r>
    </w:p>
    <w:p>
      <w:r>
        <w:t>Das Gericht hatte in seinem Urteil vom 19. Dezember 2013 in Betracht gezogen, dass der tiefe Stundenansatz in der getroffenen Vereinbarung vom 1. April 2012 von Fr. 40 .— geg en eine Selbständigkeit und vielmehr für einen Stundenlohn als Angestellte spre chen würde ( Erw . 3.3). Aus den vom Gericht beigezogenen Akten wird nun aber aus den eigenen Angaben der Beschwerdeführerin ersicht lich, dass sie in der Tat für ihre Tätigkeiten im Rahmen der A.___</w:t>
      </w:r>
    </w:p>
    <w:p>
      <w:r>
        <w:t>jeweils Fr. 35 .— bzw. Fr. 40.—</w:t>
      </w:r>
    </w:p>
    <w:p>
      <w:r>
        <w:t>in der Stunde verrechnet</w:t>
      </w:r>
    </w:p>
    <w:p>
      <w:r>
        <w:t>hatte ( Urk. 17/1, 17/3), so dass auch dieses Argument nicht mehr für eine unselbständige Tätigkeit spricht.</w:t>
      </w:r>
    </w:p>
    <w:p>
      <w:r>
        <w:t>Abschliessend ist somit der Beschwerdegegnerin Recht zu geben , und es ist zu bestätigen, dass die Beschwerdeführerin für ihre Tätigkeit ab 1. April 2012 bei der Y.___ als selbständig Erwerbende zu gelten hat und demnach für die geltend gemachten Fr. 5‘473.45 gemäss Art. 51 Abs. 1 AVIG keinen Anspruch auf Insolvenzentschädigung hat.</w:t>
      </w:r>
    </w:p>
    <w:p>
      <w:r>
        <w:t>Die Beschwerde ist abzuweisen. Die Einzelrichterin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ReiterKlemmt</w:t>
      </w:r>
    </w:p>
    <w:p>
      <w:r>
        <w:rPr>
          <w:b/>
        </w:rPr>
        <w:t>E. 5</w:t>
      </w:r>
    </w:p>
    <w:p>
      <w:r>
        <w:t>Abs. 2 AHVG gilt als massgebender L ohn jedes Entgelt für in unselb ständiger Stellung auf bestimmte oder unbestimmte Zeit geleistete Arbeit; als Einkommen aus selbständiger Erwerbstätigkeit gilt nach Art.</w:t>
      </w:r>
    </w:p>
    <w:p>
      <w:r>
        <w:rPr>
          <w:b/>
        </w:rPr>
        <w:t>E. 9</w:t>
      </w:r>
    </w:p>
    <w:p>
      <w:r>
        <w:t>Abs. 1 AHVG jedes Einkommen, das nicht Entgelt für in unselbständiger Stellung geleistete Arbeit darstellt.</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bzw. arbeitsorganisatorischer Hinsicht abhängig ist und kein spezi -fisches Unternehmerrisiko trägt.</w:t>
      </w:r>
    </w:p>
    <w:p>
      <w:r>
        <w:t>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