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AL.2014.00120 vom 21. Dezember 2015</w:t>
      </w:r>
    </w:p>
    <w:p>
      <w:r>
        <w:t>ZH Sozialversicherungsgericht, 2015-12-21, DE</w:t>
      </w:r>
    </w:p>
    <w:p>
      <w:r>
        <w:rPr>
          <w:b/>
        </w:rPr>
        <w:t xml:space="preserve">Quelle: </w:t>
      </w:r>
      <w:r>
        <w:t>https://mcp.opencaselaw.ch/entscheid/zh_sozialversicherungsgericht_AL.2014.00120</w:t>
      </w:r>
    </w:p>
    <w:p>
      <w:r>
        <w:t>FR: ZH_SOZIALVERSICHERUNGSGERICHT AL.2014.00120 du 21 décembre 2015</w:t>
      </w:r>
    </w:p>
    <w:p>
      <w:r>
        <w:t>IT: ZH_SOZIALVERSICHERUNGSGERICHT AL.2014.00120 del 21 dicembre 2015</w:t>
      </w:r>
    </w:p>
    <w:p>
      <w:pPr>
        <w:pStyle w:val="Heading2"/>
      </w:pPr>
      <w:r>
        <w:t>Erwägungen</w:t>
      </w:r>
    </w:p>
    <w:p>
      <w:r>
        <w:rPr>
          <w:b/>
        </w:rPr>
        <w:t>E. 3</w:t>
      </w:r>
    </w:p>
    <w:p>
      <w:r>
        <w:t>Zustellung gegen Empfangsschein an: - X.___ - Arbeitslosenkasse des Kantons Zürich - seco - Direktion für Arbeit - Amt für Wirtschaft und Arbeit (AWA)</w:t>
      </w:r>
    </w:p>
    <w:p>
      <w:r>
        <w:rPr>
          <w:b/>
        </w:rPr>
        <w:t>E. 3.1</w:t>
      </w:r>
    </w:p>
    <w:p>
      <w:r>
        <w:t>Der Beschwerdegegnerin ist darin beizupflichten, dass n ach ständiger Recht sprechung des Bundesgerichts einer Leistungsabrechnung der Arbeitslosenkasse trotz Fehlens formeller Verfügungsmerkmale materiell Verfügungscharakter zu kommt , weil sie eine behördliche Anordnung darstellt, durch welche die der v ersicherten Person (i m</w:t>
      </w:r>
    </w:p>
    <w:p>
      <w:r>
        <w:t>jeweiligen</w:t>
      </w:r>
    </w:p>
    <w:p>
      <w:r>
        <w:t>Monat ) zustehenden Arbeitslosentag gelder verbindlich festgelegt wer den (BGE 129 V 110 E. 1.2 , 125 V 475 E. 1). Eine sol che „ formlose Verfügung “ oder „ faktische Verfügung “ wird –</w:t>
      </w:r>
    </w:p>
    <w:p>
      <w:r>
        <w:t>besondere Um stände vorbehalten – rechtsbest ändig, wenn sie nicht innert 90 Tagen vom Ad ressaten gerügt wird ( Urteil e des Bundesgerichts C 7/02</w:t>
      </w:r>
    </w:p>
    <w:p>
      <w:r>
        <w:t>vom 14. Juli 2003 E.</w:t>
      </w:r>
    </w:p>
    <w:p>
      <w:r>
        <w:rPr>
          <w:b/>
        </w:rPr>
        <w:t>E. 3.2</w:t>
      </w:r>
    </w:p>
    <w:p>
      <w:r>
        <w:t>Die Sichtweise der Beschwerdegegnerin beruht jedoch insoweit auf einer Fehl überlegung , als diese davon ausgeht, die Rechtskraft erstrecke sich auch auf den in der Taggeldabrechnung für die laufende Leistungsrahmenfrist ausgewiesene n Höchstanspruch . Das von ihr im angefochtenen Entscheid (Urk. 2 S. 3 erster Abschnitt in fine ) angerufene Urteil des hiesigen Gerichts vom 22. November 2011 (Prozess-Nr. AL.2011.00196) ist diesbezüglich nicht einschlägig.</w:t>
      </w:r>
    </w:p>
    <w:p>
      <w:r>
        <w:t>G emäss höchstrichterlicher Recht sprechung besteht ein schützens wertes Inte resse am Erlass einer anfechtbaren Verfügung betreffend Höchstanspruch der Taggelder erst im Zeitpunkt des effe ktiven Ausschöpfens der Taggelder. Laut Bundesgericht vermag d ie bloss künftige Möglichkeit, dass die vom Gesetz vor gesehene Begrenzung des Tag geldanspruchs innerhalb der laufenden Rahmen frist aufgrund länger dauernder Arbeitslosigkeit konkret zum Tragen kommen k önnte,</w:t>
      </w:r>
    </w:p>
    <w:p>
      <w:r>
        <w:t>allein kein aktu elles Feststellungsinteresse zu begründen , und d as Zu warten mit einer verfügungsweisen Fe stsetzung des maximalen Taggeld an spruchs bis zu dessen effektiver Ausschöpfung ist für die versicherte Person grundsätzlich nicht mit wesentlichen Nachteilen verbunden ( in BGE 130 V 388 nicht publizierte E. 3.3 des</w:t>
      </w:r>
    </w:p>
    <w:p>
      <w:r>
        <w:t>Bundesgerichtsurteils C 266/03 vom 12. März 2004).</w:t>
      </w:r>
    </w:p>
    <w:p>
      <w:r>
        <w:t>Soweit die Beschwerdegegnerin dem Beschwerdeführer vorwirft, er habe sich nach Erhalt des Antwortschreibens vom 16. Oktober 2012 (Urk. 7/32/16) nicht innert 90 Tagen respektive unter Berücksichtigung der Gerichtsferien nicht bis spätestens Ende Januar 2013 gegen den darin bekräftigten Höchstanspruch von 400 Taggeldern zur Wehr gesetzt , verkennt sie, dass damals die Aussteuerung ausweislich der Akten nicht unmittelbar bevorstand und es demzufolge an einem schützenswerten Interesse am Erlass einer anfechtbaren Verfügung be treffend Taggeldhöchstanspruch fehlte. Mithin bestand für den Be schwerde füh rer zu jenem Zeitpunkt gar keine rechtliche Handhabe, um gegen den festgeleg ten Taggeldh öchstanspruch vorzugehen.</w:t>
      </w:r>
    </w:p>
    <w:p>
      <w:r>
        <w:t>Anders dürfte sich die Situation am 18. Dezember 2013 (Urk. 7/17) präsentiert haben, als der Beschwerdeführer unter Hinweis auf seine zwischenzeitlich „un angenehme Situation“ erneut an die Beschwerdegegnerin gelangte und aber mals die Anerkennung von 520 Taggeldern verlangte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