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AL.2014.00004 vom 24. März 2014</w:t>
      </w:r>
    </w:p>
    <w:p>
      <w:r>
        <w:t>ZH Sozialversicherungsgericht, 2014-03-24, DE</w:t>
      </w:r>
    </w:p>
    <w:p>
      <w:r>
        <w:rPr>
          <w:b/>
        </w:rPr>
        <w:t xml:space="preserve">Quelle: </w:t>
      </w:r>
      <w:r>
        <w:t>https://mcp.opencaselaw.ch/entscheid/zh_sozialversicherungsgericht_AL.2014.00004</w:t>
      </w:r>
    </w:p>
    <w:p>
      <w:r>
        <w:t>FR: ZH_SOZIALVERSICHERUNGSGERICHT AL.2014.00004 du 24 mars 2014</w:t>
      </w:r>
    </w:p>
    <w:p>
      <w:r>
        <w:t>IT: ZH_SOZIALVERSICHERUNGSGERICHT AL.2014.00004 del 24 marzo 2014</w:t>
      </w:r>
    </w:p>
    <w:p>
      <w:pPr>
        <w:pStyle w:val="Heading2"/>
      </w:pPr>
      <w:r>
        <w:t>Erwägungen</w:t>
      </w:r>
    </w:p>
    <w:p>
      <w:r>
        <w:rPr>
          <w:b/>
        </w:rPr>
        <w:t>E. 29</w:t>
      </w:r>
    </w:p>
    <w:p>
      <w:r>
        <w:t>Abs. 3 AVIV - gesetzten Nachfrist nicht alle für die Anspruchsbeurtei lung erforderlichen Unterlagen beibringt , wobei dies jedoch nur gilt , wenn die Arbeitslosenkasse ausdrücklich und unmissverständlich auf die Verwirkungs folge bei verspäteter Einreichung der für die Beurteilung des Leistungsanspruchs wesentlichen Unterlagen hingewiesen hat (Urteil des Bundesgerichts 8C_935/2011 vom 2 5. Februar 2012 E. 2 mit Hinweisen),</w:t>
      </w:r>
    </w:p>
    <w:p>
      <w:r>
        <w:t>vorliegend die Beschwerdegegnerin mit Schreiben vom 1 7. Mai 2013 (Urk. 7/16/4) eine Frist bis am 30. Juni 2013 angesetzt hat, um die bereits am 2 5. April 2013 ( Urk. 7/16/2) verlangten Unterlagen einzureichen, und die ent sprechende Aufforderung mit folgender Information versehen war: „ Art. 20 Abs. 3 AVIG Der Anspruch erlischt, wenn er nicht innert dreier Monate nach dem Ende der Kontrollperiode, auf die er sich bezieht, geltend gemacht wird.“, was als rechtsgenüglicher Hinweis auf die Mitwirkungspflicht und die Verwir kungsfolge zu betrachten ist, der Beschwerdeführer die angesetzte Frist unstreitig unbenutzt hat verstreichen lassen und auch innert der gesetzlichen Verwirkungsfrist, die angesichts der Anmeldung beim RAV am 1 8. April 2013 ( Urk. 7/8) am 3 1. Juli 2013 ablief ( Art. 20 Abs. 3 AVIG), die verlangten Unterlagen nur unvollständig beigebracht hat (vgl. Urk. 7/16/2), so dass der Anspruch verwirkte, daran die Aufforderungen vom 14. August und 1 7. September 2013 (Urk. 7/16/1-2) zur (weiteren) Vervollständigung der Unterlagen nichts ändern, da in jenem Zeitpunkt die Frist zum Einreichen der erforderlichen Unterlagen zur grundsätzlichen Ermittlung des Leistungsanspruches, namentlich des versi cherten Verdienstes, in der ersten Kontrollperiode bereits abgelaufen war, so dass diese neuen Auflagen - selbst wenn sie als falsche Auskunft zu qualifizie ren wären - für die Unterlassung nicht mehr kausal waren, zumal damit die wiederholt eingeforderten Lohnabrechnungen einverlangt wurden, der Beschwerdeführer unbestrittenermassen erst Anfang Oktober 2013 (vgl. Urk. 7/4 S. 2) die vollständigen Unterlagen zur erstmaligen Festsetzung seiner Leistungen eingereicht hat, zu jenem Zeitpunkt der Anspruch für die Kontroll perioden April, Mai und Juni 2013 indes bereits verwirkt war, da er nicht innerhalb dreier Monate nach der Kontrollperiode rechtsgenüglich geltend ge macht worden war ( Art. 20 Abs. 3 AVIG), wohingegen der Anspruch für die Kontrollperiode Juli 2013 noch nicht verwirkt war, der Beschwerdeführer demzufolge ab 1. Juli 2013 Anspruch auf Arbeitslo senentschädigung hat, sofern er die weiteren Anspruchsvoraussetzungen er füllt, in teilweiser Gutheissung der Beschwerde d er angefochtene Einspracheent scheid dahingehend abzuändern ist , dass der Anspruch für die Kontrollperio den April bis Juni 2013 verwirkt ist, erkennt das Gericht: 1.</w:t>
      </w:r>
    </w:p>
    <w:p>
      <w:r>
        <w:t>In teilweiser Gutheissung der Beschwerde wird der Einspracheentscheid vom 9. Dezember 2013 dahin abgeändert, dass der Anspruch auf Arbeitslosenentschädi gung für die Kontrollperioden April bis Juni 2013 verwirkt ist und es wird festgestellt, dass der Beschwerdeführer ab 1. Juli 2013 Anspruch auf Arbeitslosenentschädigung hat, sofern er die weiteren Anspruchsvoraussetzungen erfüllt. 2.</w:t>
      </w:r>
    </w:p>
    <w:p>
      <w:r>
        <w:t>Das Verfahren ist kostenlos. 3.</w:t>
      </w:r>
    </w:p>
    <w:p>
      <w:r>
        <w:t>Zustellung gegen Empfangsschein an: - X.___ - Arbeitslosenkasse syndicom - seco - Direktion für Arbeit - Amt für Wirtschaft und Arbeit (AWA)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