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AL.2013.00241 vom 24. November 2014</w:t>
      </w:r>
    </w:p>
    <w:p>
      <w:r>
        <w:t>ZH Sozialversicherungsgericht, 2014-11-24, DE</w:t>
      </w:r>
    </w:p>
    <w:p>
      <w:r>
        <w:rPr>
          <w:b/>
        </w:rPr>
        <w:t xml:space="preserve">Quelle: </w:t>
      </w:r>
      <w:r>
        <w:t>https://mcp.opencaselaw.ch/entscheid/zh_sozialversicherungsgericht_AL.2013.00241</w:t>
      </w:r>
    </w:p>
    <w:p>
      <w:r>
        <w:t>FR: ZH_SOZIALVERSICHERUNGSGERICHT AL.2013.00241 du 24 novembre 2014</w:t>
      </w:r>
    </w:p>
    <w:p>
      <w:r>
        <w:t>IT: ZH_SOZIALVERSICHERUNGSGERICHT AL.2013.00241 del 24 novembre 2014</w:t>
      </w:r>
    </w:p>
    <w:p>
      <w:pPr>
        <w:pStyle w:val="Heading2"/>
      </w:pPr>
      <w:r>
        <w:t>Erwägungen</w:t>
      </w:r>
    </w:p>
    <w:p>
      <w:r>
        <w:rPr>
          <w:b/>
        </w:rPr>
        <w:t>E. 1</w:t>
      </w:r>
    </w:p>
    <w:p>
      <w:r>
        <w:t>5. Januar 2010 bis zum 1 4. Januar 201</w:t>
      </w:r>
    </w:p>
    <w:p>
      <w:r>
        <w:rPr>
          <w:b/>
        </w:rPr>
        <w:t>E. 2</w:t>
      </w:r>
    </w:p>
    <w:p>
      <w:r>
        <w:t>(dem Ende der Rahmenfrist für den Leistungsbe zug , Urk. 10 ). In rechtlicher Hinsicht kann diesbezüglich zur Vermeidung von Wiederholungen auf die erwähnten Urteile des Bundesgerichts 8C_143/2012 vom 1 9. September 2012 und 8C_13/2013 vom 2 3. März 2013 respektive die darin enthaltenen Verweisungen auf die Urteile des hiesigen Gerichts verw i e sen werden ( Urk. 11 12) . Nach dem 1 6. November 2011 bestand bezüglich der in Betracht kommenden Firmen im Wesentlichen die gleiche Konstellation, wie sie bereits im vorange gangenen Prozessverfahren (Urteil des Bundesgerichts 8C_13/2013 vom 2 3. März 2013) vorlag, was vom Versicherten nicht bestritten w i rd ( Urk. 2, Urk. 1, Urk. 8 ;</w:t>
      </w:r>
    </w:p>
    <w:p>
      <w:r>
        <w:t>Handelsregistereinträge der Y.___ GmbH und der Z.___ GmbH, Urk. 6/2/1, Urk. 6/3/1 ). Damit bleibt es auch für die Zeit ab dem 1 7. November 2011 bei de r arbeitgeberähnlichen Stellung im Umfang von 50 % des anrechenbaren Arbeitsausfalls einer Vollzeitbeschäftigung . Daran änder t auch die Tätigkeit des Beschwerdeführers bei der A.___ (heute B.___ AG, Urk. 14) im Umfang von 30 % ( Urk. 6/1/1, Urk. 2, Urk. 1) nichts, denn die Ausübung einer (Teilzeit-)Tätigkeit in einem Drittbetrieb schliesst die arbeitgeberähnliche Stellung in den eigenen Firmen nicht aus. Es besteht des halb kein Anlass für eine andere Beurteilung des anrechenbaren Arbeitsausfalls nach dem 1 7. Novemb er 2011, weshalb die Beschwerde , soweit auf sei einzu treten ist, abzuweisen ist.</w:t>
      </w:r>
    </w:p>
    <w:p>
      <w:r>
        <w:rPr>
          <w:b/>
        </w:rPr>
        <w:t>E. 3</w:t>
      </w:r>
    </w:p>
    <w:p>
      <w:r>
        <w:t>Zustellung gegen Empfangsschein an: - X.___ - Amt für Wirtschaft und Arbeit (AWA) - Staatssekretariat für Wirtschaft seco § - Arbeitslosenkasse des Kantons Zürich</w:t>
      </w:r>
    </w:p>
    <w:p>
      <w:r>
        <w:rPr>
          <w:b/>
        </w:rPr>
        <w:t>E. 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