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AL.2013.00127 vom 9. August 2013</w:t>
      </w:r>
    </w:p>
    <w:p>
      <w:r>
        <w:t>ZH Sozialversicherungsgericht, 2013-08-09, DE</w:t>
      </w:r>
    </w:p>
    <w:p>
      <w:r>
        <w:rPr>
          <w:b/>
        </w:rPr>
        <w:t xml:space="preserve">Quelle: </w:t>
      </w:r>
      <w:r>
        <w:t>https://mcp.opencaselaw.ch/entscheid/zh_sozialversicherungsgericht_AL.2013.00127</w:t>
      </w:r>
    </w:p>
    <w:p>
      <w:r>
        <w:t>FR: ZH_SOZIALVERSICHERUNGSGERICHT AL.2013.00127 du 9 août 2013</w:t>
      </w:r>
    </w:p>
    <w:p>
      <w:r>
        <w:t>IT: ZH_SOZIALVERSICHERUNGSGERICHT AL.2013.00127 del 9 agosto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Verfahren ist kostenlos.</w:t>
      </w:r>
    </w:p>
    <w:p>
      <w:r>
        <w:rPr>
          <w:b/>
        </w:rPr>
        <w:t>E. 3</w:t>
      </w:r>
    </w:p>
    <w:p>
      <w:r>
        <w:t>Zustellung gegen Empfangsschein an: - X.___ - Amt für Wirtschaft und Arb eit (AWA) - seco - Direktion für Arbeit - Arbeitslosenkasse des Kantons Zürich, Geschäftsstelle Zürich-City</w:t>
      </w:r>
    </w:p>
    <w:p>
      <w:r>
        <w:rPr>
          <w:b/>
        </w:rPr>
        <w:t>E. 4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 mittel und die Unterschrift des Beschwerdeführers oder seines Vertreters zu enthal ten; der angefochtene Entscheid sowie die als Beweismittel angerufenen Urkunden sind beizulegen, soweit die Partei sie in Händen hat ( Art. 42 BGG). Sozialversicherungsgericht des Kantons Zürich Der VorsitzendeDie Gerichtsschreiberin GräubMeier-Wiesner PF/MC/ESversandt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