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AL.2011.00196 vom 22. November 2011</w:t>
      </w:r>
    </w:p>
    <w:p>
      <w:r>
        <w:t>ZH Sozialversicherungsgericht, 2011-11-22, DE</w:t>
      </w:r>
    </w:p>
    <w:p>
      <w:r>
        <w:rPr>
          <w:b/>
        </w:rPr>
        <w:t xml:space="preserve">Quelle: </w:t>
      </w:r>
      <w:r>
        <w:t>https://mcp.opencaselaw.ch/entscheid/zh_sozialversicherungsgericht_AL.2011.00196</w:t>
      </w:r>
    </w:p>
    <w:p>
      <w:r>
        <w:t>FR: ZH_SOZIALVERSICHERUNGSGERICHT AL.2011.00196 du 22 novembre 2011</w:t>
      </w:r>
    </w:p>
    <w:p>
      <w:r>
        <w:t>IT: ZH_SOZIALVERSICHERUNGSGERICHT AL.2011.00196 del 22 novembre 2011</w:t>
      </w:r>
    </w:p>
    <w:p>
      <w:pPr>
        <w:pStyle w:val="Heading2"/>
      </w:pPr>
      <w:r>
        <w:t>Erwägungen</w:t>
      </w:r>
    </w:p>
    <w:p>
      <w:r>
        <w:rPr>
          <w:b/>
        </w:rPr>
        <w:t>E. 2</w:t>
      </w:r>
    </w:p>
    <w:p>
      <w:r>
        <w:t>2.1Â Â Â Â  GemÃ¤ss einem allgemeinen Grundsatz des Sozialversicherungsrechts kann die Verwaltung auf formell rechtskrÃ¤ftige VerfÃ¼gungen oder Einspracheentscheide, die nicht Gegenstand materieller richterlicher Beurteilung gebildet haben, zurÃ¼ckkommen, wenn sie zweifellos unrichtig sind und wenn ihre Berichtigung von erheblicher Bedeutung ist (Art. 53 Abs. 2 des Bundesgesetzes Ã¼ber den Allgemeinen Teil des Sozialversicherungsrechts, ATSG; BGE 133 V 50 E. 4.1 S. 52). Sodann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(Art. 53 Abs. 1 ATSG).</w:t>
      </w:r>
    </w:p>
    <w:p>
      <w:r>
        <w:t>Â Â Â Â Â Â Â Â  Bei faktischem Verwaltungshandeln sind die RÃ¼ckkommenstitel der WiedererwÃ¤gung und Revision nur erforderlich, wenn die in Frage stehende Taggeldabrechnung auch vom Versicherten nicht mehr beanstandet werden kann, das Verwaltungshandeln vielmehr eine mit dem Ablauf der Beschwerdefrist bei formellen VerfÃ¼gungen eintretende vergleichbare RechtsbestÃ¤ndigkeit erreicht hat. Entsprechend der im Bereich des KUVG entwickelten, auf den Prinzipien des Vertrauensschutzes und der Rechtssicherheit beruhenden Praxis kann die RechtsbestÃ¤ndigkeit als eingetreten gelten, wenn anzunehmen ist, eine versicherte Person habe sich mit einer getroffenen Regelung abgefunden. Dies ist nach der Rechtsprechung dann der Fall, wenn sie sich nicht innert (nach den UmstÃ¤nden) angemessener Ãberlegungs- und PrÃ¼fungsfrist dagegen verwahrt (BGE 110 V 164 E. 2b; RKUV 1990 Nr. K 835 S. 82 E. 2a, 1988 Nr. K 783 S. 395 E. 3a mit Hinweisen; vgl. auch BGE 107 V 191 E. 1 und BGE 122 V 367 E. 3.).</w:t>
      </w:r>
    </w:p>
    <w:p>
      <w:r>
        <w:t>Â Â Â Â Â Â Â Â  Ebenso steht auch die BestÃ¤ndigkeit des einmal festgelegten Beginns der Leistungsrahmenfrist unter dem Vorbehalt, dass sich die Zusprechung und Ausrichtung von ArbeitslosenentschÃ¤digung nicht nachtrÃ¤glich zufolge Fehlens einer oder mehrer Anspruchsvoraussetzungen unter wiedererwÃ¤gungsrechtlichem oder prozessualrevisionrechtlichem Gesichtswinkel als unrichtig erweist (vgl. BGE 127 V 475 E. 2.b)aa) S. 477 mit weiteren Hinweisen).</w:t>
      </w:r>
    </w:p>
    <w:p>
      <w:r>
        <w:t>2.2Â Â Â Â Â Â Â Â  Nachdem dem BeschwerdefÃ¼hrer mit Schreiben vom 26. Juni 2009 (Urk. 7/90) per 30. September 2009 gekÃ¼ndigt worden war, meldete er sich am 9. Juli 2009 (Urk. 7/101) zur Arbeitsvermittlung an. Weil er in diesem Zeitpunkt seinen AusfÃ¼hrungen zufolge bereits eine Urlaubsreise vom 30. September bis zum 25. Oktober 2009 gebucht hatte, erklÃ¤rte er anlÃ¤sslich des BeratungsgesprÃ¤ches vom 22. Juli 2009 (Urk. 7/28), ab dem 26. Oktober 2009 Anspruch auf ArbeitslosenentschÃ¤digung zu erheben. Aus den Akten ergibt sich sodann, dass die geplante Reise nach Kolumbien fÃ¼hrte, wo der BeschwerdefÃ¼hrer kaum erreichbar war (kein Laptop, kein Mobiltelefon, nur sehr - wenn Ã¼berhaupt - eingeschrÃ¤nkter Internet-Zugang, vgl. Urk. 7/9). War mithin die Erreichbarkeit des BeschwerdefÃ¼hrers innert Tagesfrist (Art. 22 Abs. 4 der Verordnung Ã¼ber die obligatorische Arbeitslosenversicherung und die InsolvenzentschÃ¤digung, AVIV) nicht gewÃ¤hrleistet, und sind weder Anhaltspunkte dafÃ¼r ersichtlich, dass der BeschwerdefÃ¼hrer seinen Urlaub jederzeit hÃ¤tte abbrechen kÃ¶nnen, noch dass er eine Arbeitsstelle unverzÃ¼glich hÃ¤tte antreten kÃ¶nnen, so ist die VermittlungsfÃ¤higkeit des BeschwerdefÃ¼hrers (Art. 15 AVIG) wÃ¤hrend seiner vom 30. September bis zum 25. Oktober 2009 dauernden Kolumbienreise ohne Weiteres zu verneinen. Damit waren - ungeachtet dessen, dass der BeschwerdefÃ¼hrer bereits ab dem 1. Oktober 2009 erwerbslos war - erstmals am 26. Oktober 2009 alle Anspruchsvoraussetzungen auf ArbeitslosenentschÃ¤digung (Art. 8 Abs. 1 AVIG) erfÃ¼llt. Weil die Rahmenfrist fÃ¼r den Leistungsbezug mit diesem Tag beginnt (Art. 9 Abs. 2 AVIG), ist die Festsetzung des Beginns der Rahmenfrist fÃ¼r den Leistungsbezug auf den 26. Oktober 2009 nicht zu beanstanden.</w:t>
      </w:r>
    </w:p>
    <w:p>
      <w:r>
        <w:t>Â Â Â Â Â Â Â Â  Wie die Beschwerdegegnerin korrekt ausfÃ¼hrte (Urk. 2), hat die anlÃ¤sslich der erstmaligen Auszahlung von Taggeldern festgesetzte Rahmenfrist lÃ¤ngst RechtsbestÃ¤ndigkeit erlangt. Der am 26. Oktober 2009 festgesetzte Beginn der Leistungsrahmenfrist steht mit dem geltenden Recht in Einklang, was soeben dargelegt wurde. Hinweise dafÃ¼r, dass die fragliche Rahmenfrist aus prozessualrevisionsrechtlicher Sicht neu festzulegen wÃ¤re, sind sodann keine aktenkundig und wurden auch vom BeschwerdefÃ¼hrer nicht dargetan. Damit fehlt es an einem Grund, welcher der BestÃ¤ndigkeit des festgelegten Beginns der Leistungsrahmenfrist entgegenstÃ¼nde. Dass die Beschwerdegegnerin einen WiedererwÃ¤gungsgrund verneint und das Gesuch des BeschwerdefÃ¼hrers um Verschiebung der Rahmenfrist in abschlÃ¤giger Weise behandelt hat, ist im Ergebnis nicht zu beanstanden. Nachdem die Festsetzung der Rahmenfrist jedoch bereits lÃ¤ngst RechtsbestÃ¤ndigkeit erlangt hatte, wÃ¤re es der Beschwerdegegnerin - unter Vorbehalt wiedererwÃ¤gungsrechtlicher oder prozessualrevisionrechtlicher GrÃ¼nde (E. 3.1) - verwehrt gewesen, darÃ¼ber erneut zu entscheiden. Vielmehr hÃ¤tte sie auf das als WiedererwÃ¤gungsgesuch zu behandelnde Schreiben des BeschwerdefÃ¼hrers (Urk. 7/25) nicht eintreten dÃ¼rfen.</w:t>
      </w:r>
    </w:p>
    <w:p>
      <w:r>
        <w:t>Â Â Â Â Â Â Â Â  War nach Gesagten ein erneutes VerfÃ¼gen Ã¼ber den per 26. Oktober 2009 festgesetzten Beginn der Leistungsrahmenfrist vorliegend nicht zulÃ¤ssig, ist insoweit auf die Beschwerde nicht einzutreten.</w:t>
      </w:r>
    </w:p>
    <w:p>
      <w:r>
        <w:rPr>
          <w:b/>
        </w:rPr>
        <w:t>E. 3</w:t>
      </w:r>
    </w:p>
    <w:p>
      <w:r>
        <w:t>3.1Â Â Â Â  Nach der Rechtsprechung des Bundesgerichts kann das verwaltungsgerichtliche Verfahren aus prozessÃ¶konomischen GrÃ¼nden auf eine ausserhalb des Anfechtungsgegenstandes, d.h. ausserhalb des durch die VerfÃ¼gung bzw. durch den Einspracheentscheid bestimmten RechtsverhÃ¤ltnisses liegende spruchreife Frage ausgedehnt werden, wenn diese mit dem bisherigen Streitgegenstand derart eng zusammenhÃ¤ngt, dass von einer Tatbestandsgesamtheit gesprochen werden kann, und wenn sich die Verwaltung zu dieser Streitfrage mindestens in Form einer ProzesserklÃ¤rung geÃ¤ussert hat (BGE 130 V 501, 122 V 34 E. 2a mit Hinweisen).</w:t>
      </w:r>
    </w:p>
    <w:p>
      <w:r>
        <w:t>3.2Â Â Â Â Â Â Â Â  Gegenstand des angefochtenen Einspracheentscheids sowie der damit bestÃ¤tigten VerfÃ¼gung (Urk. 7/6) war einzig die Frage der Festsetzung des Beginns der Leistungsrahmenfrist. Erst mit Meldung vom 14. September 2011 (Urk. 7/2) zeigte die Beschwerdegegnerin dem BeschwerdefÃ¼hrer die AusschÃ¶pfung seines Taggeldanspruchs von (nunmehr) 400 Taggeldern per 17. August 2011 an. Weil in diesem Zeitpunkt die vorliegende Beschwerde bereits hÃ¤ngig war, der BeschwerdefÃ¼hrer angesichts dessen offensichtlich auf den Erlass einer VerfÃ¼gung im Sinne von Art. 49 Abs. 1 ATSG verzichtete und die Beschwerdegegnerin im angefochtenen Einspracheentscheid AusfÃ¼hrungen zum Vertrauensschutz in Bezug auf den Taggeldanspruch des BeschwerdefÃ¼hrers machte (Urk. 2), rechtfertigt es sich, den Anfechtungsgegenstand auf die Frage des TaggeldhÃ¶chstanspruchs auszudehnen (E. 4.1).</w:t>
      </w:r>
    </w:p>
    <w:p>
      <w:r>
        <w:t>3.3Â Â Â Â  Der Grundsatz von Treu und Glauben (Art. 9 BV) verschafft einen Anspruch auf Schutz berechtigten Vertrauens in behÃ¶rdliche Zusicherungen oder sonstiges, bestimmte Erwartungen begrÃ¼ndetes Verhalten, sofern sich dieses auf eine konkrete, die betreffende BÃ¼rgerin oder den betreffenden BÃ¼rger berÃ¼hrende Angelegenheit bezieht. Der entsprechende Schutz entfÃ¤llt in der Regel bei Ãnderungen von Erlassen, da gemÃ¤ss dem demokratischen Prinzip die Rechtsordnung grundsÃ¤tzlich jederzeit geÃ¤ndert werden kann. Der Vertrauensgrundsatz vermag einer RechtsÃ¤nderung nur entgegenzustehen, wenn diese gegen das RÃ¼ckwirkungsverbot verstÃ¶sst oder in wohlerworbene Rechte eingreift. Nach der Rechtsprechung kann es aus GrÃ¼nden der Rechtsgleichheit, der VerhÃ¤ltnismÃ¤ssigkeit und des WillkÃ¼rverbots sowie des Vertrauensschutzes verfassungsrechtlich zudem geboten sein, gegebenenfalls eine angemessene Ãbergangsregelung zu schaffen (BGE 130 I 26 E. 8.1 mit Hinweisen).</w:t>
      </w:r>
    </w:p>
    <w:p>
      <w:r>
        <w:t>Â Â Â Â Â Â Â Â  Aus den Akten ergibt sich kein Hinweis dafÃ¼r, dass die RAV-Beraterin dem BeschwerdefÃ¼hrer Zusicherungen in Bezug auf die ihm maximal zustehende Zahl an Taggeldern gemacht hÃ¤tte (Urk. 7/28). Das GesprÃ¤ch, anlÃ¤sslich dessen der BeschwerdefÃ¼hrer sein Reisevorhaben kundtat und erklÃ¤rte, (erst) ab dem 26. Oktober 2009 ArbeitslosenentschÃ¤digung zu beantragen, fand am 22. Juli 2009 statt. In diesem Zeitpunkt war noch kein Beschluss der Bundesversammlung Ã¼ber die Revision des AVIG ergangen (AS 2011 1176: 19. MÃ¤rz 2010), und es fehlte, nach dem Ergreifen des Referendums, erst recht an der Gutheissung der Vorlage durch das Stimmvolk (Annahme durch das Volk am 26. September 2010, AS 2011 117). Mithin konnte (und musste) die RAV-Beraterin die Ãnderungen, welche mit einer Revision einhergehen wÃ¼rden, nicht erkennen. Fehlt es bei Ãnderungen von Erlassen in der Regel ohnehin an einer Vertrauensgrundlage (oben) und traf die RAV-Beraterin keine diesbezÃ¼gliche Auskunftspflicht, so fÃ¤llt die Anwendung des Vertrauensschutzes ausser Betracht.</w:t>
      </w:r>
    </w:p>
    <w:p>
      <w:r>
        <w:rPr>
          <w:b/>
        </w:rPr>
        <w:t>E. 3.4</w:t>
      </w:r>
    </w:p>
    <w:p>
      <w:r>
        <w:t>3.4.1Â Â  GemÃ¤ss Art. 27 Abs. 2 AVIG (in der Fassung gemÃ¤ss Ziffer I des Bundesgesetzes vom 19. MÃ¤rz 2010, in Kraft seit 1. April 2011) hat die versicherte Person innerhalb der Rahmenfrist fÃ¼r den Leistungsbezug Anspruch auf: (a) hÃ¶chstens 260 Taggelder, wenn sie eine Beitragszeit von insgesamt 12 Monaten nachweisen kann; (b) hÃ¶chstens 400 Taggelder, wenn sie eine Beitragszeit von insgesamt 18 Monaten nachweisen kann; (c) hÃ¶chstens 520 Taggelder, wenn sie eine Beitragszeit von mindestens 24 Monaten nachweisen kann und: 1. das 55. Altersjahr zurÃ¼ckgelegt hat, oder 2. eine Invalidenrente bezieht, die einem InvaliditÃ¤tsgrad von mindestens 40 Prozent entspricht. Der Bundesrat kann fÃ¼r Versicherte, die innerhalb der letzten vier Jahre vor Erreichen des AHV-Rentenalters arbeitslos geworden sind und deren Vermittlung allgemein oder aus GrÃ¼nden des Arbeitsmarktes unmÃ¶glich oder stark erschwert ist, den Anspruch um hÃ¶chstens 120 Taggelder erhÃ¶hen und die Rahmenfrist fÃ¼r den Leistungsbezug um lÃ¤ngstens zwei Jahre verlÃ¤ngern (Abs. 3).</w:t>
      </w:r>
    </w:p>
    <w:p>
      <w:r>
        <w:t>3.4.2Â Â  In zeitlicher Hinsicht sind grundsÃ¤tzlich diejenigen RechtssÃ¤tze massgebend, die bei der ErfÃ¼llung des zu Rechtsfolgen fÃ¼hrenden Tatbestandes Geltung haben (BGE 130 V 445 E. 1.2.1 S. 447). Bei zusammengesetzten TatbestÃ¤nden, d.h. bei Rechtsnormen, welche den Eintritt der in ihr vorgesehenen Rechtsfolge von der Verwirklichung mehrerer subsumtionsrelevanter Sachverhaltselemente abhÃ¤ngig machen, hat die Rechtsprechung erkannt, dass fÃ¼r die Entscheidung der intertemporalrechtlichen Anwendbarkeit massgeblich ist, unter der Herrschaft welcher Norm sich der Sachverhaltskomplex schwergewichtig, Ã¼berwiegend ereignet hat (BGE 126 V 134 E. 4b S. 136 mit Hinweisen).</w:t>
      </w:r>
    </w:p>
    <w:p>
      <w:r>
        <w:t>3.4.3Â Â  Das revidierte Gesetz (AVIG) enthÃ¤lt keine Ã¼bergangsrechtliche Ordnung, sondern regelt einzig den Zeitpunkt des Inkrafttretens per 1. April 2011 (AS 2011 1167). Den Gesetzesmaterialien lassen sich sodann keine weiterfÃ¼hrenden Angaben entnehmen (vgl. insbesondere Botschaft zur Ãnderung der Arbeitslosenversicherung vom 3. September 2008, BBl 2008 7733 ff.). Mithin kommt die allgemeine Regel zur Anwendung, wonach in zeitlicher Hinsicht grundsÃ¤tzlich diejenigen RechtssÃ¤tze relevant sind, die bei der Verwirklichung des zu den Rechtsfolgen fÃ¼hrenden Sachverhaltes in Geltung standen (E. 4.4.2). Dass eine verÃ¤nderte Anzahl Taggelder auch auf jene Versicherten Anwendung findet, die bereits unter dem alten Recht bezugsberechtigt waren, hatte das Bundesgericht bereits im Zusammenhang mit der per 1. April 1993 in Kraft getretenen Revision des AVIG (ErhÃ¶hung der Taggelder) festgehalten (ARV 1995 NR. 27 E. 4a S. 158). Sodann wandte das Gericht den am 1. September 1999 in Kraft getretenen Art. 27 Abs. 4 AVIG, welcher eine Halbierung der Taggelder fÃ¼r jene versicherten Personen zur Folge hatte, welche von der ErfÃ¼llung der Beitragszeit befreit waren, ebenso auf die Personen an, die im Zeitpunkt des Inkrafttretens der neuen Bestimmung bereits Taggelder bezogen. Es begrÃ¼ndete die sofortige Anwendbarkeit der neuen Regelung damit, dass nicht die Situation des Arbeitslosen im Zeitpunkt der ErÃ¶ffnung der Rahmenfrist, sondern die andauernde Abwesenheit von einer ErwerbstÃ¤tigkeit massgebend sei. Damit sei der Sachverhalt, welcher Anspruch auf Leistungen der Arbeitslosenversicherung gebe, nicht punktuell, sondern daure wÃ¤hrend der Rahmenfrist oder zumindest bis zum Ende der Arbeitslosigkeit an. Weil es an Ã¼bergangsrechtlichen Regelungen fehle - der Erlass solcher sei dem Bundesgesetzgeber vorbehalten -, sei die neue Regelung anwendbar (ARV 2002, Nr. 36 E. 4 S. 251 f).</w:t>
      </w:r>
    </w:p>
    <w:p>
      <w:r>
        <w:t>Â Â Â Â Â Â Â Â  GestÃ¼tzt auf die genannten Ã¼bergangsrechtlichen GrundsÃ¤tze und die oben zitierte Rechtsprechung ist nicht zu beanstanden, dass die Beschwerdegegnerin der Weisung des Sekretariats fÃ¼r Wirtschaft (SECO) folgend (vgl. SECO-TC, 027-AVIG-Prasix 2011/R20) die neuen Mindestbeitragszeiten und HÃ¶chstzahlen der Taggelder ab Inkrafttreten des revidierten AVIG per 1. April 2011 zur Anwendung brachte.</w:t>
      </w:r>
    </w:p>
    <w:p>
      <w:r>
        <w:t>3.4.4Â Â  Daran vermag auch nichts zu Ã¤ndern, dass sich die ErfÃ¼llung der Beitragszeit unter dem alten Recht verwirklicht hat (E. 4.4.2, vgl. auch Urteil des Bundesgerichts vom 12. Juli 2005, C 154/04 E. 2.3). Das Sachverhaltselement der ErfÃ¼llung der Beitragszeit ist bloss eine von sieben Anspruchsvoraussetzungen gemÃ¤ss Art. 8 Abs. 1 AVIG. WÃ¤hrend dieses nach der Anmeldung einer VerÃ¤nderung nicht mehr zugÃ¤nglich ist, hat die versicherte Person sÃ¤mtliche Ã¼brigen Voraussetzungen, so insbesondere die Voraussetzungen der Arbeitslosigkeit, der VermittlungsfÃ¤higkeit und der ErfÃ¼llung der Kontrollvorschriften (Art. 8 Abs. 1 lit. a, f und g AVIG) andauernd neu zu erfÃ¼llen. Mithin war der anspruchserhebliche Tatbestand am 1. April 2011 nicht abgeschlossen, sondern dauerte schwergewichtig weiterhin fort. Mit anderen Worten ereignete sich der massgebliche Sachverhalt fÃ¼r den Anspruch auf ArbeitslosenentschÃ¤digung ab dem 1. April 2011 ab eben diesem Zeitpunkt, was zur Anwendung des in diesem Zeitraum massgebenden Rechts fÃ¼hrt (E. 4.4.1).</w:t>
      </w:r>
    </w:p>
    <w:p>
      <w:r>
        <w:t>3.5Â Â Â Â  Der BeschwerdefÃ¼hrer kann sich Ã¼ber eine Beitragszeit von 23.1 Monaten ausweisen (Urk. 7/82), weshalb er Anspruch auf maximal 400 Taggelder hat (E. 3.4.1). Dies fÃ¼hrt zur Abweisung der Beschwerde in diesem Punkt.</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X.___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