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AL.2011.00184 vom 22. November 2011</w:t>
      </w:r>
    </w:p>
    <w:p>
      <w:r>
        <w:t>ZH Sozialversicherungsgericht, 2011-11-22, DE</w:t>
      </w:r>
    </w:p>
    <w:p>
      <w:r>
        <w:rPr>
          <w:b/>
        </w:rPr>
        <w:t xml:space="preserve">Quelle: </w:t>
      </w:r>
      <w:r>
        <w:t>https://mcp.opencaselaw.ch/entscheid/zh_sozialversicherungsgericht_AL.2011.00184</w:t>
      </w:r>
    </w:p>
    <w:p>
      <w:r>
        <w:t>FR: ZH_SOZIALVERSICHERUNGSGERICHT AL.2011.00184 du 22 novembre 2011</w:t>
      </w:r>
    </w:p>
    <w:p>
      <w:r>
        <w:t>IT: ZH_SOZIALVERSICHERUNGSGERICHT AL.2011.00184 del 22 novembre 2011</w:t>
      </w:r>
    </w:p>
    <w:p>
      <w:pPr>
        <w:pStyle w:val="Heading2"/>
      </w:pPr>
      <w:r>
        <w:t>Erwägungen</w:t>
      </w:r>
    </w:p>
    <w:p>
      <w:r>
        <w:rPr>
          <w:b/>
        </w:rPr>
        <w:t>E. 2</w:t>
      </w:r>
    </w:p>
    <w:p>
      <w:r>
        <w:t>2.1Â Â Â Â  GemÃ¤ss Art. 27 Abs. 2 AVIG (in der Fassung gemÃ¤ss Ziffer I des Bundesgesetzes vom 19. MÃ¤rz 2010, in Kraft seit 1. April 2011) hat die versicherte Person innerhalb der Rahmenfrist fÃ¼r den Leistungsbezug Anspruch auf: (a) hÃ¶chstens 260 Taggelder, wenn sie eine Beitragszeit von insgesamt 12 Monaten nachweisen kann; (b) hÃ¶chstens 400 Taggelder, wenn sie eine Beitragszeit von insgesamt 18 Monaten nachweisen kann; (c) hÃ¶chstens 520 Taggelder, wenn sie eine Beitragszeit von mindestens 24 Monaten nachweisen kann und: 1. das 55. Altersjahr zurÃ¼ckgelegt hat, oder 2. eine Invalidenrente bezieht, die einem InvaliditÃ¤tsgrad von mindestens 40 Prozent entspricht. Der Bundesrat kann fÃ¼r Versicherte, die innerhalb der letzten vier Jahre vor Erreichen des AHV-Rentenalters arbeitslos geworden sind und deren Vermittlung allgemein oder aus GrÃ¼nden des Arbeitsmarktes unmÃ¶glich oder stark erschwert ist, den Anspruch um hÃ¶chstens 120 Taggelder erhÃ¶hen und die Rahmenfrist fÃ¼r den Leistungsbezug um lÃ¤ngstens zwei Jahre verlÃ¤ngern (Abs. 3).</w:t>
      </w:r>
    </w:p>
    <w:p>
      <w:r>
        <w:t>2.2Â Â Â Â  In zeitlicher Hinsicht sind grundsÃ¤tzlich diejenigen RechtssÃ¤tze massgebend, die bei der ErfÃ¼llung des zu Rechtsfolgen fÃ¼hrenden Tatbestandes Geltung haben (BGE 130 V 445 E. 1.2.1 S. 447). Bei zusammengesetzten TatbestÃ¤nden, d.h. bei Rechtsnormen, welche den Eintritt der in ihr vorgesehenen Rechtsfolge von der Verwirklichung mehrer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134 E. 4b S. 136 mit Hinweisen).</w:t>
      </w:r>
    </w:p>
    <w:p>
      <w:r>
        <w:t>2.3Â Â Â Â  Das Bundesgericht hat in BGE 123 V 234 Erw. 7a/bb S. 237 f. die Anwendung von Art. 31 Abs. 3 lit. c AVIG, welche arbeitgeberÃ¤hnliche Personen von der Leistungsberechtigung ausschliesst, nicht auf die FÃ¤lle von Kurzarbeit beschrÃ¤nkt, sondern auch im Bereich der ArbeitslosenentschÃ¤digung angewendet. Es hat dabei festgehalten, unter den Voraussetzungen von Art. 8 ff. AVIG bestehe grundsÃ¤tzlich Anspruch auf EntschÃ¤digung, sofern das ArbeitsverhÃ¤ltnis gekÃ¼ndigt werde und mithin das Ausscheiden des betreffenden Arbeitnehmers definitiv sei, da in einem solchen Fall nicht mehr von einer Gesetzesumgehung gesprochen werden kÃ¶nne. Dieses Ausscheiden muss anhand eindeutiger Kriterien gemessen werden kÃ¶nnen, welche keinen Zweifel am definitiven Austritt aus der Firma Ã¼brig lassen. Die Rechtsprechung hat wiederholt darauf abgestellt, ob der Eintrag der betreffenden Person im Handelsregister gelÃ¶scht worden ist (ARV 2002 S. 185; bestÃ¤tigt im Urteil des EidgenÃ¶ssischen Versicherungsgerichts vom 8. Juni 2004 in Sachen K., C 110/03). Denn erst mit der LÃ¶schung des Eintrags ist das Ausscheiden der arbeitgeberÃ¤hnlichen Person aus der Firma fÃ¼r aussenstehende Dritte erkennbar.</w:t>
      </w:r>
    </w:p>
    <w:p>
      <w:r>
        <w:rPr>
          <w:b/>
        </w:rPr>
        <w:t>E. 3</w:t>
      </w:r>
    </w:p>
    <w:p>
      <w:r>
        <w:t>3.1Â Â Â Â  Das revidierte Gesetz (AVIG) enthÃ¤lt keine Ã¼bergangsrechtliche Ordnung, sondern regelt einzig den Zeitpunkt des Inkrafttretens per 1. April 2011 (AS 2011 1167). Den Gesetzesmaterialien lassen sich sodann keine weiterfÃ¼hrenden Angaben entnehmen (vgl. insbesondere Botschaft zur Ãnderung der Arbeitslosenversicherung vom 3. September 2008, BBl 2008 7733 ff.). Mithin kommt die allgemeine Regel zur Anwendung, wonach in zeitlicher Hinsicht grundsÃ¤tzlich diejenigen RechtssÃ¤tze relevant sind, die bei der Verwirklichung des zu den Rechtsfolgen fÃ¼hrenden Sachverhaltes in Geltung standen (E. 2.2). Dass eine verÃ¤nderte Anzahl Taggelder auch auf jene Versicherten Anwendung findet, die bereits unter dem alten Recht bezugsberechtigt waren, hatte das Bundesgericht bereits im Zusammenhang mit der per 1. April 1993 in Kraft getretenen Revision des AVIG (ErhÃ¶hung der Taggelder) festgehalten (ARV 1995 NR. 27 E. 4a S. 158). Sodann wandte das Gericht den am 1. September 1999 in Kraft getretenen Art. 27 Abs. 4 AVIG, welcher eine Halbierung der Taggelder fÃ¼r jene versicherten Personen zur Folge hatte, welche von der ErfÃ¼llung der Beitragszeit befreit waren, ebenso auf die Personen an, die im Zeitpunkt des Inkrafttretens der neuen Bestimmung bereits Taggelder bezogen. Es begrÃ¼ndete die sofortige Anwendbarkeit der neuen Regelung damit, dass nicht die Situation des Arbeitslosen im Zeitpunkt der ErÃ¶ffnung der Rahmenfrist, sondern die andauernde Abwesenheit von einer ErwerbstÃ¤tigkeit massgebend sei. Damit sei der Sachverhalt, welcher Anspruch auf Leistungen der Arbeitslosenversicherung gebe, nicht punktuell, sondern daure wÃ¤hrend der Rahmenfrist oder zumindest bis zum Ende der Arbeitslosigkeit an. Weil es an Ã¼bergangsrechtlichen Regelungen fehle - der Erlass solcher sei dem Bundesgesetzgeber vorbehalten -, sei die neue Regelung anwendbar (ARV 2002, Nr. 36 E. 4 S. 251 f).</w:t>
      </w:r>
    </w:p>
    <w:p>
      <w:r>
        <w:t>Â Â Â Â Â Â Â Â  GestÃ¼tzt auf die genannten Ã¼bergangsrechtlichen GrundsÃ¤tze und die oben zitierte Rechtsprechung ist nicht zu beanstanden, dass die Beschwerdegegnerin der Weisung des Sekretariats fÃ¼r Wirtschaft (SECO) folgend (vgl. SECO-TC, 027-AVIG-Prasix 2011/R20) die neuen Mindestbeitragszeiten und HÃ¶chstzahlen der Taggelder ab Inkrafttreten des revidierten AVIG per 1. April 2011 zur Anwendung brachte.</w:t>
      </w:r>
    </w:p>
    <w:p>
      <w:r>
        <w:t>3.2Â Â Â Â  Daran vermag auch nichts zu Ã¤ndern, dass sich die ErfÃ¼llung der Beitragszeit unter dem alten Recht verwirklicht hat (E. 2.2, vgl. auch Urteil des Bundesgerichts vom 12. Juli 2005, C 154/04 E. 2.3). Das Sachverhaltselement der ErfÃ¼llung der Beitragszeit ist bloss eine von sieben Anspruchsvoraussetzungen gemÃ¤ss Art. 8 Abs. 1 AVIG. WÃ¤hrend dieses nach der Anmeldung einer VerÃ¤nderung nicht mehr zugÃ¤nglich ist, hat die versicherte Person sÃ¤mtliche Ã¼brigen Voraussetzungen, so insbesondere die Voraussetzungen der Arbeitslosigkeit, der VermittlungsfÃ¤higkeit und der ErfÃ¼llung der Kontrollvorschriften (Art. 8 Abs. 1 lit. a, f und g AVIG) andauernd neu zu erfÃ¼llen. Mithin war der anspruchserhebliche Tatbestand am 1. April 2011 nicht abgeschlossen, sondern dauerte schwergewichtig weiterhin fort. Mit anderen Worten ereignete sich der massgebliche Sachverhalt fÃ¼r den Anspruch auf ArbeitslosenentschÃ¤digung ab dem 1. April 2011 ab eben diesem Zeitpunkt, was zur Anwendung des in diesem Zeitraum massgebenden Rechts fÃ¼hrt (E. 2.2).</w:t>
      </w:r>
    </w:p>
    <w:p>
      <w:r>
        <w:t>Â Â Â Â Â Â Â Â  Was die BeschwerdefÃ¼hrerin die ErÃ¶ffnung der Rahmenfrist betreffend vorbringt, fÃ¼hrt zu keinem anderen Ergebnis. Von Gesetzes wegen hat der Gesellschafter einer GmbH das Recht und die Pflicht zur GeschÃ¤ftsfÃ¼hrung (Art. 809 Abs. 1 des Schweizerischen Obligationenrechts, OR). Daran Ã¤ndert auch eine Liquidation nichts, kann doch ein Gesellschafter oder ein Liquidator - im zwar begrenzten Rahmen der LiquidationstÃ¤tigkeiten - weiterhin die Geschicke des Betriebes bestimmen, da kein definitives Ausscheiden aus dem Betrieb gegeben ist (Urteil des Bundesgerichts vom 8. August 2008, 8C_521/2007, E. 3.2; Urteil vom 19. Januar 2011, 8C_732/2010, E. 3.2). Mithin behielt die BeschwerdefÃ¼hrerin zumindest bis zu ihrer dem Handelsregisteramt am 10. Mai 2010 zugegangenen Anmeldung zur LÃ¶schung ihrer Funktion als Gesellschafterin und GeschÃ¤ftsfÃ¼hrerin (Urk. 7/43) ihre arbeitgeberÃ¤hnliche Stellung bei, was sie bis zu diesem Zeitpunkt rechtsprechungsgemÃ¤ss vom Anspruch auf ArbeitslosenentschÃ¤digung ausschloss (Urteil des Bundesgerichts vom 12. Januar 2007, C 277/05, E. 2.3). Dass sie die LÃ¶schung vorzunehmen habe, war ihr im Ãbrigen am 15. Februar 2010 korrekt angezeigt worden (Urk. 7/73). ErfÃ¼llte die BeschwerdefÃ¼hrerin somit am 11. Mai 2010 erstmals alle Voraussetzungen fÃ¼r den Anspruch auf ArbeitslosenentschÃ¤digung (Art. 8 AVIG), hat es bei der Festsetzung der Rahmenfrist fÃ¼r den Leistungsbezug (11. Mai 2010 bis 10. Mai 2012, Art. 9 Abs. 2 AVIG) und damit auch der Rahmenfrist fÃ¼r die Beitragszeit (11. Mai 2008 bis 10. Mai 2010, Art. 9 Abs. 3 AVIG) sein Bewenden.</w:t>
      </w:r>
    </w:p>
    <w:p>
      <w:r>
        <w:t>3.3Â Â Â Â  Die BeschwerdefÃ¼hrerin kann sich Ã¼ber 21.7 Beitragsmonate ausweisen (Urk. 7/2, Urk. 7/39), womit sie gestÃ¼tzt auf die ab 1. April 2011 gÃ¼ltige gesetzliche Regelung Anspruch auf hÃ¶chstens 400 Taggelder hat (E. 2.1).</w:t>
      </w:r>
    </w:p>
    <w:p>
      <w:r>
        <w:t>4.Â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