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AL.2011.00149 vom 28. Juni 2012</w:t>
      </w:r>
    </w:p>
    <w:p>
      <w:r>
        <w:t>ZH Sozialversicherungsgericht, 2012-06-28, DE</w:t>
      </w:r>
    </w:p>
    <w:p>
      <w:r>
        <w:rPr>
          <w:b/>
        </w:rPr>
        <w:t xml:space="preserve">Quelle: </w:t>
      </w:r>
      <w:r>
        <w:t>https://mcp.opencaselaw.ch/entscheid/zh_sozialversicherungsgericht_AL.2011.00149</w:t>
      </w:r>
    </w:p>
    <w:p>
      <w:r>
        <w:t>FR: ZH_SOZIALVERSICHERUNGSGERICHT AL.2011.00149 du 28 juin 2012</w:t>
      </w:r>
    </w:p>
    <w:p>
      <w:r>
        <w:t>IT: ZH_SOZIALVERSICHERUNGSGERICHT AL.2011.00149 del 28 giugno 2012</w:t>
      </w:r>
    </w:p>
    <w:p>
      <w:pPr>
        <w:pStyle w:val="Heading2"/>
      </w:pPr>
      <w:r>
        <w:t>Erwägungen</w:t>
      </w:r>
    </w:p>
    <w:p>
      <w:r>
        <w:rPr>
          <w:b/>
        </w:rPr>
        <w:t>E. 3</w:t>
      </w:r>
    </w:p>
    <w:p>
      <w:r>
        <w:t>3.1Â Â Â Â  Das revidierte Gesetz (AVIG) enthÃ¤lt keine Ã¼bergangsrechtliche Ordnung, sondern regelt einzig den Zeitpunkt des Inkrafttretens per 1. April 2011 (AS 2011 1167). Die erneute Ãnderung von Art. 27 Abs. 2 lit. c AVIG vom 30. September 2011 ist sodann rÃ¼ckwirkend auf den 1. Januar 2012 in Kraft getreten (AS 2012 495).</w:t>
      </w:r>
    </w:p>
    <w:p>
      <w:r>
        <w:t>Â Â Â Â Â Â Â Â  Den Gesetzesmaterialien lassen sich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Sachverhalts in Geltung standen (E. 1.2). Dass eine verÃ¤nderte Anzahl Taggelder auch fÃ¼r jene Versicherte Anwendung findet, die bereits unter dem alten Recht bezugsberechtigt waren, hatte das Bundesgericht bereits im Zusammenhang mit der per 1. April 1993 in Kraft getretenen Revision des AVIG (ErhÃ¶hung der Taggelder) festgehalten (ARV 1995 Nr. 27 E. 4 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3.2Â Â Â Â  GestÃ¼tzt auf die genannten Ã¼bergangsrechtlichen GrundsÃ¤tze und die oben zitierte Rechtsprechung ist nicht zu beanstanden, dass die Beschwerdegegnerin der Weisung des Staatssekretariats fÃ¼r Wirtschaft (SECO) folgend (vgl. SECO-TC, 027-AVIG-Praxis 2011/Rz20) die neuen Mindestbeitragszeiten und HÃ¶chstzahlen der Taggelder ab Inkrafttreten des revidierten AVIG per 1. April 2011 zur Anwendung brachte.</w:t>
      </w:r>
    </w:p>
    <w:p>
      <w:r>
        <w:t>Â Â Â Â Â Â Â Â  Daran vermag auch nichts zu Ã¤ndern, dass sich die ErfÃ¼llung der Beitragszeit unter dem alten Recht verwirklich hat (E. 1.2, vgl. auch Urteil des Bundesgerichts C 154/04 vom 12. Juli 2005, E. 2.3). Das Sachverhaltselement der ErfÃ¼llung der Beitragszeit ist lediglich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1.2)</w:t>
      </w:r>
    </w:p>
    <w:p>
      <w:r>
        <w:t>Â 3.3Â Â Â  Die Beschwerdegegnerin setzte die Rahmenfrist fÃ¼r den Leistungsbezug gemÃ¤ss VerfÃ¼gung vom 19. Mai 2011 fÃ¼r die Zeit vom 1. Dezember 2009 bis 30. November 2011 fest (Urk. 11/1 S. 1), wÃ¤hrend die Rahmenfrist fÃ¼r die Beitragszeit vom 1. Dezember 2007 bis 30. November 2009 dauerte (Urk. 11/1 S. 2). Nach der bei den Akten liegenden Arbeitgeberbescheinigung des Y.___s vom 24. November 2009 kann der BeschwerdefÃ¼hrer nur fÃ¼r die Zeit vom 1. MÃ¤rz 2008 bis 30. November 2009 (Urk. 6/3 Ziff. 2) und mithin nur fÃ¼r 21 Monate eine beitragspflichtige BeschÃ¤ftigung nachweisen. Davor war er seinen Angaben auf dem Antrag auf ArbeitslosenentschÃ¤digung vom 19. Januar 2010 zufolge selbstÃ¤ndigerwerbend (Urk. 6/1 Ziff. 30).</w:t>
      </w:r>
    </w:p>
    <w:p>
      <w:r>
        <w:t>Â Â Â Â Â Â Â Â  Nach der auf den 1. Januar 2012 in Kraft getretenen Revision von Art. 27 Abs. 2 lit. c AVIG, wonach Anspruch auf hÃ¶chstens 520 Taggelder besteht, wenn die versicherte Person eine Beitragszeit von mindestens 22 Monate nachweisen kann und sie das 55. Altersjahr zurÃ¼ckgelegt hat oder eine Invalidenrente bezieht, hat der BeschwerdefÃ¼hrer bei einer Beitragszeit von 21 Monaten Anspruch auf hÃ¶chstens 400 Taggelder. Die Revision vom 19. MÃ¤rz 2010, welche auf den 1. April 2011 trat, sah unter Art. 27 Abs. 2 lit. c AVIG noch den Nachweis einer Beitragszeit von mindestens 24 Monaten vor. Der BeschwerdefÃ¼hrer vermag sich daher nicht mit Erfolg auf die erneute Revision von Art. 27 Abs. 2 lit. c AVIG zu berufen.</w:t>
      </w:r>
    </w:p>
    <w:p>
      <w:r>
        <w:t>Â Â Â Â Â Â Â Â  Die ErhÃ¶hung der Taggelder in Anwendung von Art. 27 Abs. 3 AVIG in Verbindung mit Art. 41b der Verordnung Ã¼ber die obligatorische Arbeitslosenversicherung und die InsolvenzentschÃ¤digung (AVIV) fÃ¤llt beim am 21. Oktober 1954 geborenen BeschwerdefÃ¼hrer ausser Betracht, wurde die Rahmenfrist fÃ¼r den Leistungsbezug doch mehr als vier Jahre vor Erreichen seines ordentlichen AHV-Alters von 65 Jahren (Art. 21 Abs. 1 lit. a des Bundesgesetzes Ã¼ber die Alters- und Hinterlassenenversicherung, AHVG) erÃ¶ffnet.</w:t>
      </w:r>
    </w:p>
    <w:p>
      <w:r>
        <w:t>3.4Â Â Â Â  Auch aus dem Grundsatz von Treu und Glauben vermag der BeschwerdefÃ¼hrer nichts zu seinen Gunsten abzuleiten. Im Februar 2011 wies die Beschwerdegegnerin ausdrÃ¼cklich darauf hin, dass die neuen TaggeldhÃ¶chstansprÃ¼che auch fÃ¼r versicherte Personen mit laufender Rahmenfrist gelten wÃ¼rden und der Anspruch des BeschwerdefÃ¼hrers ab dem 1. April 2011 neu 400 Taggelder betragen werde (Urk. 6/4). Es kann zudem dem in einer laufenden Rahmenfrist stehenden und Taggelder beziehenden BeschwerdefÃ¼hrer auch nicht entgangen sein, dass die Revision des Arbeitslosenversicherungsgesetzes einhergehend mit LeistungskÃ¼rzungen im September 2010 vom Stimmvolk gutgeheissen worden war. Aus dieser Sicht fehlt es bereits an einer Vertrauensgrundlage, woran es bei Ãnderungen von Erlassen in der Regel ohnehin mangelt (E. 1.3). Ein Anspruch auf eine Ã¼ber 400 hinausgehende Zahl von Taggeldern lÃ¤sst sich somit auch nicht aus Vertrauensschutz ableiten.</w:t>
      </w:r>
    </w:p>
    <w:p>
      <w:r>
        <w:t>Â Â Â Â Â Â Â Â  Soweit der BeschwerdefÃ¼hrer geltend machte, er habe einen unverÃ¤nderlichen Anspruch auf eine bestimmte Anzahl von Taggeldern erworben, ist darauf hinzuweisen, dass im Sozialversicherungsrecht ein Besitzstand nur dann und soweit angenommen werden darf, als er im Gesetz ausdrÃ¼cklich garantiert ist (BGE 137 V 162 E. 3.2). Eine Berufung auf wohlerworbenes Recht entfÃ¤llt damit ebenso. Schliesslich wÃ¤re die Milderung der Durchsetzung der Rechtsgleichheit in der Rechtsanwendung und sofortigen Anwendung neuen Rechts in der Formulierung von Ãbergangsrecht zu suchen, was dem hiesigen Gericht der Rechtsprechung des Bundesgerichts folgend (E. 3.1) verwehrt bleibt.</w:t>
      </w:r>
    </w:p>
    <w:p>
      <w:r>
        <w:t>3.5Â Â Â Â  Nach der auf den 1. Januar 2012 in Kraft getretenen Ãnderung von Art. 27 Abs. 2 lit. c Einleitungssatz AVIG vom 30. September 2011 und der bereits auf den 1. April 2011 in Kraft getretenen Revision von Art. 27 AVIG besteht bei einer Beitragszeit von 21 Monaten Anspruch auf hÃ¶chstens 400 Taggelder.</w:t>
      </w:r>
    </w:p>
    <w:p>
      <w:r>
        <w:t>Â Â Â Â Â Â Â Â Â  Der angefochtene Entscheid ist daher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