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AL.2011.00131 vom 27. September 2011</w:t>
      </w:r>
    </w:p>
    <w:p>
      <w:r>
        <w:t>ZH Sozialversicherungsgericht, 2011-09-27, DE</w:t>
      </w:r>
    </w:p>
    <w:p>
      <w:r>
        <w:rPr>
          <w:b/>
        </w:rPr>
        <w:t xml:space="preserve">Quelle: </w:t>
      </w:r>
      <w:r>
        <w:t>https://mcp.opencaselaw.ch/entscheid/zh_sozialversicherungsgericht_AL.2011.00131</w:t>
      </w:r>
    </w:p>
    <w:p>
      <w:r>
        <w:t>FR: ZH_SOZIALVERSICHERUNGSGERICHT AL.2011.00131 du 27 septembre 2011</w:t>
      </w:r>
    </w:p>
    <w:p>
      <w:r>
        <w:t>IT: ZH_SOZIALVERSICHERUNGSGERICHT AL.2011.00131 del 27 settembre 2011</w:t>
      </w:r>
    </w:p>
    <w:p>
      <w:pPr>
        <w:pStyle w:val="Heading2"/>
      </w:pPr>
      <w:r>
        <w:t>Erwägungen</w:t>
      </w:r>
    </w:p>
    <w:p>
      <w:r>
        <w:rPr>
          <w:b/>
        </w:rPr>
        <w:t>E. 4</w:t>
      </w:r>
    </w:p>
    <w:p>
      <w:r>
        <w:t>4.1Â Â Â Â  Es mag wohl zutreffen, dass die Bestimmung betreffend die Zusatzaltersgutschrift im Pensionskassenreglement aus wirtschaftlichen GrÃ¼nden aufgehoben wurde. Indessen wurde das ArbeitsverhÃ¤ltnis des BeschwerdefÃ¼hrers von der Arbeitgeberin nicht aus wirtschaftlichen GrÃ¼nden aufgehoben. Vielmehr stand es dem BeschwerdefÃ¼hrer frei, das bisherige ArbeitsverhÃ¤ltnis weiter zu fÃ¼hren: Zwar wÃ¤re er dann im Falle einer nach dem 1. Januar 2011 erfolgten vorzeitigen Pensionierung bezÃ¼glich des insgesamt ausgerichteten Alterskapitals schlechter gestellt gewesen als nach bisherigem Reglement, doch hÃ¤tte er im Falle einer Fortsetzung des ArbeitsverhÃ¤ltnisses aufgrund der auf ihn anwendbaren Ãbergangsbestimmung immerhin noch die hÃ¤lftige Zusatzaltersgutschrift bezogen. Der BeschwerdefÃ¼hrer machte demnach von der ihm im Vorsorgereglement eingerÃ¤umten MÃ¶glichkeit Gebrauch, die Ausrichtung einer Altersleistung und damit seine vorzeitige Pensionierung zu verlangen, wÃ¤hrend es ihm freigestanden hÃ¤tte, entweder das ArbeitsverhÃ¤ltnis fortzufÃ¼hren oder aber unter AuflÃ¶sung des ArbeitsverhÃ¤ltnisses es bei einer FreizÃ¼gigkeitsleistung bewenden zu lassen (vgl. BGE 126 V 393 S. 398 E.3.b/bb, BGE 129 V 327 S. 329 E. 3.1). An der Freiwilligkeit Ã¤nderte sich auch nichts, wenn - wie der BeschwerdefÃ¼hrer geltend machte (Urk. 11) - gleichzeitig mit der Regelung des Pensionskassenreglements ein Stellenabbau betrieben worden wÃ¤re. Aufgrund dessen steht fest, dass der BeschwerdefÃ¼hrer weder aus statutarischen GrÃ¼nden - Erreichen des Rentenalters - zur Pensionierung gezwungen noch eine solche von der Arbeitgeberin aus wirtschaftlichen GrÃ¼nden veranlasst worden war.</w:t>
      </w:r>
    </w:p>
    <w:p>
      <w:r>
        <w:t>4.2Â Â Â Â  Den AusfÃ¼hrungen des BeschwerdefÃ¼hrers, wonach es sich bei seinem Schreiben vom 27. Mai 2010 (Urk. 3/2) nicht um eine KÃ¼ndigung gehandelt habe (Urk. 11), kann nicht gefolgt werden. Einerseits liess sich vorliegend die Auszahlung des Altersguthabens nicht von der AuflÃ¶sung des ArbeitsverhÃ¤ltnisses trennen, und andererseits hat der BeschwerdefÃ¼hrer gegen die BestÃ¤tigung seiner Arbeitgeberin, wonach der Arbeitsvertrag per Ende 2010 aufgehoben werde (Urk. 7/14), nie EinwÃ¤nde erhoben.</w:t>
      </w:r>
    </w:p>
    <w:p>
      <w:r>
        <w:t>Â Â Â Â Â Â Â Â  Unbehelflich ist sodann auch der sinngemÃ¤sse Einwand, dass es sich beim ausbezahlten Betrag um FreizÃ¼gigkeits- und nicht um Alterskapital handle. Auch wenn der BeschwerdefÃ¼hrer offenbar der Meinung war, die Kapitalauszahlung auf ein FreizÃ¼gigkeitskonto beantragen zu kÃ¶nnen, so handelt es sich beim ausbezahlten Betrag um Alterskapital. So wurde es denn auch auf ein gewÃ¶hnliches Bank- und nicht ein FreizÃ¼gigkeitskonto ausbezahlt (Urk. 7/15), und zuzÃ¼glich zum Altersguthaben wurde eine Zusatzaltersgutschrift gewÃ¤hrt, wogegen sich der BeschwerdefÃ¼hrer nie zur Wehr setzte. Der Betrag wurde damit klarerweise fÃ¼r das versicherte Ereignis Alter ausgerichtet.</w:t>
      </w:r>
    </w:p>
    <w:p>
      <w:r>
        <w:t>4.3Â Â Â Â Â Â Â Â  Zusammenfassend ist daher festzuhalten, dass das ArbeitsverhÃ¤ltnis des BeschwerdefÃ¼hrers weder aus wirtschaftlichen GrÃ¼nden noch auf Grund von zwingenden Regelungen der beruflichen Vorsorge aufgelÃ¶st wurde, weshalb die Ausnahmebestimmung gemÃ¤ss Art. 12 Abs. 2 AVIV nicht anwendbar und die vor der vorzeitigen Pensionierung zurÃ¼ckgelegte Beitragszeit gemÃ¤ss Art. 12 Abs. 1 AVIV nicht anrechenbar ist.</w:t>
      </w:r>
    </w:p>
    <w:p>
      <w:r>
        <w:t>Â Â Â Â Â Â Â Â  Der BeschwerdefÃ¼hrer hat damit die erforderliche Mindestbeitragszeit von zwÃ¶lf Monaten nicht erfÃ¼llt (vgl. vorstehend Erw. 1.1), weshalb seine Anspruchsberechtigung zu verneinen ist.</w:t>
      </w:r>
    </w:p>
    <w:p>
      <w:r>
        <w:t>5.Â Â Â Â Â Â  Damit erweist sich der Einspracheentscheid als rechtens, weshalb die dagegen erhobene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Arbeitslosenkasse des Kantons ZÃ¼rich, unter Beilage einer Kopie von Urk. 11</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