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AL.2011.00082 vom 30. April 2012</w:t>
      </w:r>
    </w:p>
    <w:p>
      <w:r>
        <w:t>ZH Sozialversicherungsgericht, 2012-04-30, DE</w:t>
      </w:r>
    </w:p>
    <w:p>
      <w:r>
        <w:rPr>
          <w:b/>
        </w:rPr>
        <w:t xml:space="preserve">Quelle: </w:t>
      </w:r>
      <w:r>
        <w:t>https://mcp.opencaselaw.ch/entscheid/zh_sozialversicherungsgericht_AL.2011.00082</w:t>
      </w:r>
    </w:p>
    <w:p>
      <w:r>
        <w:t>FR: ZH_SOZIALVERSICHERUNGSGERICHT AL.2011.00082 du 30 avril 2012</w:t>
      </w:r>
    </w:p>
    <w:p>
      <w:r>
        <w:t>IT: ZH_SOZIALVERSICHERUNGSGERICHT AL.2011.00082 del 30 aprile 2012</w:t>
      </w:r>
    </w:p>
    <w:p>
      <w:pPr>
        <w:pStyle w:val="Heading2"/>
      </w:pPr>
      <w:r>
        <w:t>Erwägungen</w:t>
      </w:r>
    </w:p>
    <w:p>
      <w:r>
        <w:rPr>
          <w:b/>
        </w:rPr>
        <w:t>E. 2</w:t>
      </w:r>
    </w:p>
    <w:p>
      <w:r>
        <w:t>2.1Â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 Art. 37 der Verordnung Ã¼ber die obligatorische Arbeitslosenversicherung und die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versicherte Verdienst beschrÃ¤nkt sich auf das aus der normalen Arbeitszeit resultierende Einkommen (BGE 126 V 207 ff., 125 V 475 ff.). Nebst der ÃberzeitentschÃ¤digung ist auch die ÃberstundenentschÃ¤digung vom versicherten Verdienst ausgenommen (BGE 129 V 105 ff.).</w:t>
      </w:r>
    </w:p>
    <w:p>
      <w:r>
        <w:t>2.2Â Â Â Â  Bei der Festsetzung des versicherten Verdienstes ist einzig strittig, ob die im Dezember 2009 ausgerichtete Sonderprovision von Fr. 1'155.-- gesamthaft (Urk. 1) oder - wie von der Beschwerdegegnerin in Anrechnung gebracht (Urk. 2) - bloss pro rata zu berÃ¼cksichtigen ist. Die auf der Gehaltsabrechnung vom Dezember 2009 (Urk. 7/13 S. 15) als Sonderprovision bezeichnete AusschÃ¼ttung (vgl. die Bezeichnung in der Arbeitgeberbescheinigung als Gratifikation: Urk. 7/13 S. 2) entspricht einer Gratifikation im Sinne von Art. 322d des Obligationenrechts (OR) und ist daher als massgebender Lohn zum versicherten Verdienst zu zÃ¤hlen, wobei unerheblich ist, ob ein Rechtsanspruch darauf besteht oder nicht (BGE 122 V 362 E. 3a). Voraussetzung ist jedoch, dass die Gratifikation im Bemessungszeitraum zur Ausrichtung gelangt (ARV 2001 Nr. 4 S. 75 E. 2b). Die Beschwerdegegnerin hat die im Dezember 2009 erfolgte Zahlung von Fr. 1'155.-- anteilsmÃ¤ssig berÃ¼cksichtigt (Fr. 96.25 in den Monaten Oktober bis Dezember 2009), was der bundesgerichtlichen Rechtsprechung entspricht (vgl. BGE 122 V 362 E. 3d S. 366, Urteil des Bundesgerichts vom 8. Februar 2008, 8C_110/2007, E. 3.4) und mithin nicht zu beanstanden ist. Sodann hat die Beschwerdegegnerin zu Recht den versicherten Verdienst gestÃ¼tzt auf die letzten 12 Monate vor Beginn der Rahmenfrist fÃ¼r den Leistungsbezug ermittelt, ist dieser doch hÃ¶her als der Durchschnittswert der letzten sechs Monate (vgl. Urk. 7/13 S. 3; E. 2.1). Der mit Fr. 4'957.40 ermittelte versicherte Verdienst (Fr. 59'488.75 geteilt durch 12 Monate, Urk. 7/13 S. 3) bietet mithin keinerlei Anlass zu Beanstandungen.</w:t>
      </w:r>
    </w:p>
    <w:p>
      <w:r>
        <w:rPr>
          <w:b/>
        </w:rPr>
        <w:t>E. 3</w:t>
      </w:r>
    </w:p>
    <w:p>
      <w:r>
        <w:t>3.1Â Â Â Â  Nach Art. 24 AVIG gilt als Zwischenverdienst jedes Einkommen aus unselbstÃ¤ndiger oder selbstÃ¤ndiger ErwerbstÃ¤tigkeit, das der Arbeitslose innerhalb einer Kontrollperiode erzielt. Der Versicherte hat Anspruch auf Ersatz des Verdienstausfalls (Abs. 1). Als Verdienstausfall gilt die Differenz zwischen dem in der Kontrollperiode erzielten Zwischenverdienst, mindestens aber dem berufs- und ortsÃ¼blichen Ansatz fÃ¼r die betreffende Arbeit, und dem versicherten Verdienst (Abs. 3 Satz 1). Sinn und Zweck der EntschÃ¤digung des Verdienstausfalles in Form von Differenzausgleich ist die FÃ¶rderung der Annahme lohnmÃ¤ssig unzumutbarer Arbeiten. Mit dem Korrektiv der Berufs- und OrtsÃ¼blichkeit der EntlÃ¶hnung soll verhindert werden, dass Arbeitgeber und Arbeitnehmer im Sinne eines Lohndumping einen zu niedrigen Verdienst vereinbaren, um die Differenz zu Lasten der Arbeitslosenversicherung entschÃ¤digen zu lassen (Urteil des EidgenÃ¶ssischen Versicherungsgerichts, EVG, vom 13. Oktober 2006, C 139/06, Erw. 2.1 mit Hinweisen).</w:t>
      </w:r>
    </w:p>
    <w:p>
      <w:r>
        <w:t>3.2Â Â Â Â  Im Urteil vom 30. April 2003 (C 227/01, E. 3.2.4) hat das EVG den von der Arbeitslosenkasse fÃ¼r eine auf Provisionsbasis tÃ¤tige Vorsorgeberaterin als berufs- und ortsÃ¼blich angenommenen Stundenansatz von Fr. 20.-- ermessensweise nicht beanstandet. Gleichzeitig wies es jedoch darauf hin, dass im Hinblick auf ARV 2002, S. 108 ff. E. 5, mit welchem Entscheid ein Stundenlohn von Fr. 35.-- fÃ¼r einen Finanzberater letztinstanzlich bestÃ¤tigt worden war, ein Stundenansatz von Fr. 20.-- als an der untersten Grenze liegend zu betrachten sei. Am 13. Oktober 2006 (C 139/06) hielt das EVG sodann fest, in stÃ¤ndiger Rechtsprechung habe es bei im Bereich der Finanzberatung (Versicherungen, Vorsorge etc.) tÃ¤tigen Arbeitnehmern im Aussendienst, welche umsatzbezogen (auf Provisionsbasis) entlÃ¶hnt wÃ¼rden, den von den Arbeitslosenkassen bei der Verdienstausfallberechnung nach Art. 24 Abs. 3 AVIG regelmÃ¤ssig angewendeten berufs- und ortsÃ¼bliche Stundenansatz von mindestens Fr. 20.-- als angemessen bezeichnet oder nicht beanstandet (Erw. 2.2).</w:t>
      </w:r>
    </w:p>
    <w:p>
      <w:r>
        <w:t>Â Â Â Â Â Â Â Â  Vor diesem Hintergrund kann vorliegend weder auf den effektiven Verdienst (Januar 2011: Fr. 1'000.--, Urk. 7/4; Februar 2011 Fr. 3'000.--, Urk. 7/25) - so das Ansinnen des BeschwerdefÃ¼hrers - noch auf den von der Beschwerdegegnerin gestÃ¼tzt auf die Angaben des Arbeitgebers (Urk. 7/3, Brief vom 16. Februar 2011) in Erfahrung gebrachten durchschnittlich erzielbaren Lohn am derzeitigen Arbeitsplatz von Fr. 7'583.-- (Urk. 7/3 S. 2) abgestellt werden. Vielmehr drÃ¤ngt sich mit Blick auf die genannte Rechtsprechung und auf die Schweizerische Lohnstrukturerhebung 2008, TA1, wonach fÃ¼r MÃ¤nner im privaten Kredit- und Versicherungsgewerbe mit Ausbildungsniveau 4 (einfache und repetitive TÃ¤tigkeiten; Wirtschaftszweige 65-57) der monatliche Median bei Fr. 6'602.-- liegt, die Festsetzung des Stundenansatzes auf Ã¼ber Fr. 20.-- auf. Dies umso mehr, als der BeschwerdefÃ¼hrer bereits im November 2010 ein Einkommen von Fr. 4'145.-- (Urk. 7/17) - was einem Stundenlohn von Fr. 23.85 entspricht (Fr. 4'145.-- : 21.7 Arbeitstage : 8 Tagesstunden) - und im MÃ¤rz 2011 ein solches von Fr. 4'341.-- (Urk. 7/29) - was einem Stundenlohn von Fr. 25.-- entspricht (Fr. 4'341.-- : 21.7 : 8) - erzielte. Weil der BeschwerdefÃ¼hrer zudem Ã¼ber jahrelange Erfahrung als Kunden- und Anlageberater im Finanzbereich verfÃ¼gt und die ab Oktober 2010 ausgeÃ¼bte TÃ¤tigkeit praktisch identisch zur bisherigen ist (vgl. Urk. 7/13 S. 22 und Urk. 7/4 S. 4), ist ein berufs- und ortsÃ¼blicher Stundenansatz von mindestens Fr. 25.-- in Anrechnung zu bringen.</w:t>
      </w:r>
    </w:p>
    <w:p>
      <w:r>
        <w:t>Â Â Â Â Â Â Â Â  Weil ein solchermassen anzurechnender Zwischenverdienst von tÃ¤glich Fr. 200.-- (Fr. 25.-- x 8 Arbeitsstunden) das volle Taggeld von Fr. 182.75 (versicherter Verdienst: Fr. 4Â957.-- : 21.7 Arbeitstage, davon 80 %) Ã¼bersteigt, ist ein Verdienstausfall nicht gegeben.</w:t>
      </w:r>
    </w:p>
    <w:p>
      <w:r>
        <w:t>4.Â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Arbeitslosenkasse IAW</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