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AL.2010.00222 vom 11. Januar 2011</w:t>
      </w:r>
    </w:p>
    <w:p>
      <w:r>
        <w:t>ZH Sozialversicherungsgericht, 2011-01-11, DE</w:t>
      </w:r>
    </w:p>
    <w:p>
      <w:r>
        <w:rPr>
          <w:b/>
        </w:rPr>
        <w:t xml:space="preserve">Quelle: </w:t>
      </w:r>
      <w:r>
        <w:t>https://mcp.opencaselaw.ch/entscheid/zh_sozialversicherungsgericht_AL.2010.00222</w:t>
      </w:r>
    </w:p>
    <w:p>
      <w:r>
        <w:t>FR: ZH_SOZIALVERSICHERUNGSGERICHT AL.2010.00222 du 11 janvier 2011</w:t>
      </w:r>
    </w:p>
    <w:p>
      <w:r>
        <w:t>IT: ZH_SOZIALVERSICHERUNGSGERICHT AL.2010.00222 del 11 gennaio 2011</w:t>
      </w:r>
    </w:p>
    <w:p>
      <w:pPr>
        <w:pStyle w:val="Heading2"/>
      </w:pPr>
      <w:r>
        <w:t>Erwägungen</w:t>
      </w:r>
    </w:p>
    <w:p>
      <w:r>
        <w:rPr>
          <w:b/>
        </w:rPr>
        <w:t>E. 2</w:t>
      </w:r>
    </w:p>
    <w:p>
      <w:r>
        <w:t>2.1Â Â Â Â  Strittig und zu prÃ¼fen ist damit einzig, ob die von der Beschwerdegegnerin verfÃ¼gte Sistierung des Einspracheverfahrens rechtmÃ¤ssig erfolgt ist.</w:t>
      </w:r>
    </w:p>
    <w:p>
      <w:r>
        <w:t>2.2Â Â Â Â  Die Beschwerdegegnerin sistierte mit Entscheid vom 1. Juni 2010 das Einspra-cheverfahren mit der BegrÃ¼ndung, aktuell sei ein Verfahren vor dem hiesigen Gericht gegen einen Entscheid der Invalidenversicherung hÃ¤ngig, dessen Ausgang abgewartet werden mÃ¼sse (Urk. 2 S. 1). Mit Beschwerdeantwort vom 16. September 2010 fÃ¼hrte die Beschwerdegegnerin ergÃ¤nzend aus, die Ver-fÃ¼gung der Invalidenversicherung vom 29. September 2009, wonach die BeschwerdefÃ¼hrerin keinen Anspruch auf eine Invalidenrente habe, sei nie eingereicht worden (Urk. 12 S. 1).</w:t>
      </w:r>
    </w:p>
    <w:p>
      <w:r>
        <w:t>2.3Â Â Â Â  DemgegenÃ¼ber macht die BeschwerdefÃ¼hrerin bezÃ¼glich der Sistierung geltend, Art. 70 Abs. 2 lit. b ATSG habe fÃ¼r die Dauer, wÃ¤hrend welcher der Rentenanspruch umstritten sei, seine Funktion. Diese dÃ¼rfe nicht durch eine Praxis der Arbeitslosenversicherung ausgehebelt werden, welche sich der Vorleistungspflicht entziehe, gleichgÃ¼ltig ob mit Zwischen- oder mit Einspracheentscheid (Urk. 7 S. 7 Rz 18).</w:t>
      </w:r>
    </w:p>
    <w:p>
      <w:r>
        <w:rPr>
          <w:b/>
        </w:rPr>
        <w:t>E. 3</w:t>
      </w:r>
    </w:p>
    <w:p>
      <w:r>
        <w:t>3.1Â Â Â Â  Wie das Bundesgericht in seinem Entscheid in Sachen A. vom 2. MÃ¤rz 2010 (8C_5/2009, BGE 136 V 95) einlÃ¤sslich dargelegt hat, liegt der Sinn und Zweck von Art. 15 Abs. 3 Verordnung Ã¼ber die obligatorische Arbeitslosenversicherung und die InsolvenzentschÃ¤digung (AVIV) darin, fÃ¼r die Zeit, in welcher der Anspruch auf Leistungen einer anderen Versicherung abgeklÃ¤rt wird und somit noch nicht feststeht (Schwebezustand), LÃ¼cken im Erwerbsersatz zu vermeiden. Dies wird durch die Vorleistungspflicht der Arbeitslosenversicherung im Sinne von Art. 70 Abs. 2 lit. b ATSG und Art. 15 Abs. 2 AVIG in Verbindung mit Art. 15 Abs. 3 AVIV bewerkstelligt. Aufgrund dieser Bestimmungen hat die Arbeitslosenversicherung arbeitslose, bei einer anderen Versicherung angemeldete Personen zu entschÃ¤digen, falls ihre VermittlungsunfÃ¤higkeit nicht offensichtlich ist. Dieser Anspruch auf eine ungekÃ¼rzte ArbeitslosenentschÃ¤digung besteht namentlich, wenn die voll arbeitslose Person nurmehr aus gesundheitlichen GrÃ¼nden lediglich noch teilzeitlich arbeiten kÃ¶nnte, solange sie im Umfang der ihr Ã¤rztlicherseits attestierten ArbeitsfÃ¤higkeit eine BeschÃ¤ftigung sucht und bereit ist, eine neue Anstellung mit entsprechendem Pensum anzutreten. Die Vorleistungspflicht der Arbeitslosenversicherung gemÃ¤ss Art. 70 Abs. 2 lit. b ATSG und Art. 15 Abs. 3 AVIV ist auf die Dauer des Schwebezustandes begrenzt, denn sobald das Ausmass der ErwerbsunfÃ¤higkeit feststeht, wird der versicherte Verdienst - gemÃ¤ss Art. 25 ATSG in Verbindung mit Art. 95 Abs. 1 sowie Abs. 1 bis AVIG - im Sinne von Art. 40b AVIV angepasst. Der Sinn dieser vollumfÃ¤nglichen Vorleistungspflicht der Arbeitslosenversicherung wÃ¤hrend der Dauer des Schwebezustandes liegt in der GewÃ¤hrleistung des Lebensunterhaltes der arbeitslosen Neubehinderten bis zum Abschluss des Verfahrens der Invalidenversicherung (Urteil des Bundesgerichts in Sachen A. vom 2. MÃ¤rz 2010, 8C_5/2009, Erw. 7.1).</w:t>
      </w:r>
    </w:p>
    <w:p>
      <w:r>
        <w:t>3.2Â Â Â Â  Sinn und Zweck der Vorleistungspflicht ergibt sich damit klar aus den gesetzlichen Bestimmungen und der hÃ¶chstrichterlichen Rechtsprechung. Mit ihrem Vorgehen, das Verfahren bezÃ¼glich HÃ¶he der Taggeldleistungen bis zur rechtskrÃ¤ftigen Erledigung des invalidenversicherungsrechtlichen Verfahrens zu sistieren, hÃ¶hlte die Beschwerdegegnerin die Vorleistungspflicht der Arbeitslosenversicherung zu Unrecht aus, indem die BeschwerdefÃ¼hrerin wÃ¤hrend des hÃ¤ngigen invalidenversicherungsrechtlichen Verfahrens weder Leistungen der Invalidenversicherung noch solche der Arbeitslosenversicherung erhielt und damit der Lebensunterhalt nicht mehr gewÃ¤hrleistet war.</w:t>
      </w:r>
    </w:p>
    <w:p>
      <w:r>
        <w:t>Â Â Â Â Â Â Â Â  Damit erweist sich die mit Entscheid vom 1. Juni 2010 verfÃ¼gte Sistierung des Verfahrens betreffend die HÃ¶he der Taggeldleistung und der Kosten- und EntschÃ¤digungsfolge als unzulÃ¤ssig, was zur Gutheissung der Beschwerde fÃ¼hrt.</w:t>
      </w:r>
    </w:p>
    <w:p>
      <w:r>
        <w:t>4.Â Â Â Â Â Â  Nach Â§ 34 Abs. 1 des Gesetzes Ã¼ber das Sozialversicherungsgericht (GSVGer) haben die Parteien nach Massgabe ihres Obsiegens Anspruch auf den vom Gericht festzusetzenden Ersatz der Parteikosten. Dieser wird laut Abs. 3 derselben Bestimmung ohne RÃ¼cksicht auf den Streitwert nach der Bedeutung der Streitsache und nach dem Schwierigkeitsgrad des Prozesses bemessen. Unter BerÃ¼cksichtigung dieser Bemessungskriterien ist die ProzessentschÃ¤digung auf Fr. 1'600.-- (inklusive Barauslagen und Mehrwertsteuer) festzusetzen.</w:t>
      </w:r>
    </w:p>
    <w:p>
      <w:r>
        <w:t>Â Â Â Â Â Â Â Â  Damit erweist sich das Gesuch um Bewilligung der unentgeltlichen Rechtsver-tretung als gegenstandslos.</w:t>
      </w:r>
    </w:p>
    <w:p>
      <w:r>
        <w:t>Das Gericht erkennt:</w:t>
      </w:r>
    </w:p>
    <w:p>
      <w:r>
        <w:t>1.Â Â Â Â Â Â Â Â  Die Beschwerde wird, soweit auf sie eingetreten wird, in dem Sinne gutgeheissen, dass der Entscheid der Unia Arbeitslosenkasse vom 1. Juni 2010 aufgehoben wird, soweit damit das Einspracheverfahren bis zum rechtskrÃ¤ftigen Ausgang des hÃ¤ngigen Verfahrens beim Sozialversicherungsgericht des Kantons ZÃ¼rich gegen die Invalidenversicherung sistiert wurde.</w:t>
      </w:r>
    </w:p>
    <w:p>
      <w:r>
        <w:t>2.Â Â Â Â Â Â Â Â  Das Verfahren ist kostenlos.</w:t>
      </w:r>
    </w:p>
    <w:p>
      <w:r>
        <w:t>3.Â Â Â Â Â Â Â Â  Die Beschwerdegegnerin wird verpflichtet, der BeschwerdefÃ¼hrerin eine Prozessent-schÃ¤digung von Fr. 1'600.-- (inkl. Barauslagen und MWSt) zu bezahlen.</w:t>
      </w:r>
    </w:p>
    <w:p>
      <w:r>
        <w:t>4.Â Â Â Â Â Â Â Â  Zustellung gegen Empfangsschein an:</w:t>
      </w:r>
    </w:p>
    <w:p>
      <w:r>
        <w:t>- Rechtsanwalt JÃ¼rg Gasche BÃ¼hler</w:t>
      </w:r>
    </w:p>
    <w:p>
      <w:r>
        <w:t>- Unia Arbeitslosenkasse unter Beilage je einer Kopie von Urk. 9, 18 und 19</w:t>
      </w:r>
    </w:p>
    <w:p>
      <w:r>
        <w:t>- Staatssekretariat fÃ¼r Wirtschaft seco</w:t>
      </w:r>
    </w:p>
    <w:p>
      <w:r>
        <w:t>- AWA Amt fÃ¼r Wirtschaft und Arbeit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