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AL.2010.00117 vom 21. Juni 2010</w:t>
      </w:r>
    </w:p>
    <w:p>
      <w:r>
        <w:t>ZH Sozialversicherungsgericht, 2010-06-21, DE</w:t>
      </w:r>
    </w:p>
    <w:p>
      <w:r>
        <w:rPr>
          <w:b/>
        </w:rPr>
        <w:t xml:space="preserve">Quelle: </w:t>
      </w:r>
      <w:r>
        <w:t>https://mcp.opencaselaw.ch/entscheid/zh_sozialversicherungsgericht_AL.2010.00117</w:t>
      </w:r>
    </w:p>
    <w:p>
      <w:r>
        <w:t>FR: ZH_SOZIALVERSICHERUNGSGERICHT AL.2010.00117 du 21 juin 2010</w:t>
      </w:r>
    </w:p>
    <w:p>
      <w:r>
        <w:t>IT: ZH_SOZIALVERSICHERUNGSGERICHT AL.2010.00117 del 21 giugno 2010</w:t>
      </w:r>
    </w:p>
    <w:p>
      <w:pPr>
        <w:pStyle w:val="Heading2"/>
      </w:pPr>
      <w:r>
        <w:t>Erwägungen</w:t>
      </w:r>
    </w:p>
    <w:p>
      <w:r>
        <w:rPr>
          <w:b/>
        </w:rPr>
        <w:t>E. 2</w:t>
      </w:r>
    </w:p>
    <w:p>
      <w:r>
        <w:t>2.1Â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w:t>
      </w:r>
    </w:p>
    <w:p>
      <w:r>
        <w:t>2.2Â Â Â Â  Als normale Arbeitszeit gilt die vertragliche Arbeitszeit des Arbeitnehmers, jedoch hÃ¶chstens die ortsÃ¼bliche Arbeitszeit im betreffenden Wirtschaftzweig. FÃ¼r Arbeitnehmer mit flexiblem Arbeitszeitsystem gilt die vertraglich vereinbarte jahresdurchschnittliche Arbeitszeit als normale Arbeitszeit (Art. 41 Abs. 1 der Verordnung Ã¼ber die obligatorische Arbeitslosenversicherung und die InsolvenzentschÃ¤digung, AVIV).</w:t>
      </w:r>
    </w:p>
    <w:p>
      <w:r>
        <w:t>Â Â Â Â Â Â Â Â  Als verkÃ¼rzt gilt die Arbeitszeit nur, wenn sie zusammen mit geleisteten Mehrstunden die normale Arbeitszeit nicht erreicht. Als Mehrstunden gelten alle ausbezahlten und nicht ausbezahlten Stunden, welche die vertraglich vereinbarte Arbeitszeit Ã¼bersteigen. Nicht als Mehrstunden gelten Zeitsaldi bis zu 20 Arbeitsstunden aus betrieblichen Gleitzeitregelungen sowie betrieblich festgelegte Vor- oder Nachholstunden zum ÃberbrÃ¼cken von Feiertagen (Art. 41 Abs. 2 AVIV).</w:t>
      </w:r>
    </w:p>
    <w:p>
      <w:r>
        <w:t>Â Â Â Â Â Â Â Â  LÃ¤uft im Zeitpunkt der EinfÃ¼hrung von bewilligter Kurzarbeit fÃ¼r den Betrieb oder die Betriebsabteilung noch keine Rahmenfrist fÃ¼r den Leistungsbezug, so sind die von den einzelnen Arbeitnehmern in den sechs vorangegangenen Monaten geleisteten Mehrstunden von ihren ArbeitsausfÃ¤llen abzuziehen (Art. 46 Abs. 4 AVIV).</w:t>
      </w:r>
    </w:p>
    <w:p>
      <w:r>
        <w:rPr>
          <w:b/>
        </w:rPr>
        <w:t>E. 3</w:t>
      </w:r>
    </w:p>
    <w:p>
      <w:r>
        <w:t>3.1Â Â Â Â  In den letzten 6 Monaten vor EinfÃ¼hrung der Kurzarbeit wurden bei der X.___ unbestrittenermassen Mehrstunden geleistet (vgl. Urk. 7/14). Diese Mehrstunden wurden den Arbeitnehmern finanziell abgegolten (Urk. 3/4). Die Arbeitslosenkasse errechnete die ArbeitsausfÃ¤lle und zog davon sÃ¤mtliche geleisteten Mehrstunden - ungeachtet dessen, dass diese finanziell kompensiert worden waren - ab, womit sich der Umfang der anrechenbaren Ausfallstunden fÃ¼r die Monate Februar bis April 2009 reduzierte (Urk. 2, Urk. 7/3, 7/25).</w:t>
      </w:r>
    </w:p>
    <w:p>
      <w:r>
        <w:t>Â Â Â Â Â Â Â Â  Die BeschwerdefÃ¼hrerin stellt sich auf den Standpunkt, lediglich die Differenz des Mehrstundensaldos zum Zeitpunkt 6 Monate vor Beginn der Rahmenfrist zum allfÃ¤llig hÃ¶heren Mehrstundensaldo zu Beginn der Abrechnungsperiode sei von den ArbeitsausfÃ¤llen in Abzug zu bringen. Mit anderen Worten macht sie damit geltend, dass ein Abzug der Mehrstunden von den ArbeitsausfÃ¤llen lediglich gerechtfertigt ist, soweit sie finanziell nicht kompensiert worden sind. FÃ¼r den Fall, dass ihrer Ansicht nicht gefolgt wird, sieht sie wegen unterschiedlicher Behandlung von Mehrstunden die Rechtsgleichheit verletzt (Urk. 1).</w:t>
      </w:r>
    </w:p>
    <w:p>
      <w:r>
        <w:t>3.2Â Â Â Â  Art. 46 Abs. 2 AVIV erwÃ¤hnt ausbezahlte und nicht ausbezahlte Mehrstunden, um deren Umfang sich der anrechenbare Arbeitsausfall vermindert, unabhÃ¤ngig davon, ob sie bezahlt oder nicht ausbezahlt sind. Der Arbeitsausfall fÃ¤llt ganz dahin, sofern die im Rahmen der Kurzarbeit angeordnete Arbeitszeit zusammen mit diesen Mehrstunden die normale Arbeitszeit erreicht oder Ã¼bersteigt. Die BeschwerdefÃ¼hrerin schliesst daraus auf eine Ungleichbehandlung von Mehrstunden, die zeitlich kompensiert werden, von solchen, die finanziell abgegolten werden (Urk. 1). Dem kann nicht gefolgt werden. Von Mehrstunden kann nur gesprochen werden, wenn die Kurzarbeitszeit Ã¼berschritten wird. Wird die Kurzarbeitszeit zwischenzeitlich zwar Ã¼berschritten, aber zeitlich wieder kompensiert, liegen keine Mehrstunden vor. Liegen tatsÃ¤chlich Mehrstunden vor, so spielt es fÃ¼r den Anspruch auf KurzarbeitentschÃ¤digung keine Rolle, ob sie vom Arbeitgeber finanziell abgegolten wurden oder nicht. WÃ¤re fÃ¼r den Anspruch auf KurzarbeitsentschÃ¤digung massgebend, ob der Arbeitgeber die Mehrstunden bereits finanziell abgegolten hat, lÃ¤ge es in seiner Hand, die HÃ¶he dieses Anspruchs zu bestimmen. Dies entsprÃ¤che nicht Sinn und Zweck der KurzarbeitsentschÃ¤digung und wird gerade verhindert, indem Art. 46 Abs. 2 AVIV ausbezahlte und nicht ausbezahlte Mehrstunden gleich behandelt. Das EidgenÃ¶ssische Versicherungsgericht hat denn auch diese Bestimmung ausdrÃ¼cklich fÃ¼r gesetzes- und verfassungskonform erklÃ¤rt (BGE 130 V 309).</w:t>
      </w:r>
    </w:p>
    <w:p>
      <w:r>
        <w:t>Â Â Â Â Â Â Â Â  Angesichts dessen, dass sowohl ausbezahlte als auch nicht ausbezahlte Mehrstunden bei der Bestimmung des anrechenbaren Arbeitsausfalls zu berÃ¼cksichtigen sind, bleibt fÃ¼r die Annahme der BeschwerdefÃ¼hrerin, wonach lediglich der Mehrstundensaldo massgebend sei, kein Raum. Folglich sind sÃ¤mtliche geleisteten Mehrstunden vom Arbeitsausfall in Abzug zu bringen.</w:t>
      </w:r>
    </w:p>
    <w:p>
      <w:r>
        <w:t>3.3Â Â Â Â  Art. 46 Abs. 2 AVIV bezieht sich auf Mehrstunden, die im Rahmen der Abrechnungsperiode geleistet werden. FÃ¼r die BerÃ¼cksichtigung der innerhalb der letzten 6 Monate vor Leistungsbezug geleisteten Mehrstunden ist Art. 46 Abs. 4 AVIV einschlÃ¤gig. Absatz 4 spricht lediglich von "geleisteten Mehrstunden". Aufgrund des Sachzusammenhangs von Absatz 2 und Absatz 4 sind darunter ebenfalls alle ausbezahlten und nicht ausbezahlten Stunden zu verstehen. Ein sachlicher Grund fÃ¼r die unterschiedliche Handhabung von Mehrstunden einzig aufgrund dessen, ob sie in den letzten 6 Monaten vor Leistungsbezug oder wÃ¤hrend diesem geleistet wurden, ist nicht ersichtlich.</w:t>
      </w:r>
    </w:p>
    <w:p>
      <w:r>
        <w:t>Â Â Â Â Â Â Â Â  Damit erweist sich das Vorgehen der Arbeitslosenkasse, welche bei der Bestimmung des anrechenbaren Arbeitsausfalls sÃ¤mtliche Mehrstunden berÃ¼cksichtigte, als rechtens. In befraglicher Hinsicht wurde seitens der BeschwerdefÃ¼hrerin keine Vorbringen gemacht; dies fÃ¼hrt zur Abweisung der Beschwerde.</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