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AL.2009.00205 vom 29. April 2010</w:t>
      </w:r>
    </w:p>
    <w:p>
      <w:r>
        <w:t>ZH Sozialversicherungsgericht, 2010-04-29, DE</w:t>
      </w:r>
    </w:p>
    <w:p>
      <w:r>
        <w:rPr>
          <w:b/>
        </w:rPr>
        <w:t xml:space="preserve">Quelle: </w:t>
      </w:r>
      <w:r>
        <w:t>https://mcp.opencaselaw.ch/entscheid/zh_sozialversicherungsgericht_AL.2009.00205</w:t>
      </w:r>
    </w:p>
    <w:p>
      <w:r>
        <w:t>FR: ZH_SOZIALVERSICHERUNGSGERICHT AL.2009.00205 du 29 avril 2010</w:t>
      </w:r>
    </w:p>
    <w:p>
      <w:r>
        <w:t>IT: ZH_SOZIALVERSICHERUNGSGERICHT AL.2009.00205 del 29 aprile 2010</w:t>
      </w:r>
    </w:p>
    <w:p>
      <w:pPr>
        <w:pStyle w:val="Heading2"/>
      </w:pPr>
      <w:r>
        <w:t>Erwägungen</w:t>
      </w:r>
    </w:p>
    <w:p>
      <w:r>
        <w:rPr>
          <w:b/>
        </w:rPr>
        <w:t>E. 1</w:t>
      </w:r>
    </w:p>
    <w:p>
      <w:r>
        <w:t>1.1Â Â Â Â  Art. 18c des Bundesgesetzes Ã¼ber die obligatorische Arbeitslosenversicherung und die InsolvenzentschÃ¤digung (AVIG) sieht vor, dass Altersleistungen der beruflichen Vorsorge von der ArbeitslosenentschÃ¤digung abgezogen werden (Abs. 1). Diese Bestimmung gilt auch fÃ¼r Personen, die eine Altersrente einer auslÃ¤ndischen obligatorischen oder freiwilligen Altersversicherung beziehen, unabhÃ¤ngig davon, ob es sich um eine ordentliche Altersleistung oder um eine Vorruhestandsleistung handelt (Abs. 2). Als Altersleistungen gelten Leistungen der obligatorischen und weitergehenden beruflichen Vorsorge, auf die bei Erreichen der reglementarischen Altersgrenze fÃ¼r die vorzeitige Pensionierung ein Anspruch erworben wurde (Art. 32 der Verordnung Ã¼ber die obligatorische Arbeitslosenversicherung und die InsolvenzentschÃ¤digung [AVIV]).</w:t>
      </w:r>
    </w:p>
    <w:p>
      <w:r>
        <w:t>1.2Â Â Â Â  Art. 18c Abs. 1 AVIG wurde erlassen, um eine ungerechtfertigte Kumulierung von Altersleistungen der beruflichen Vorsorge und der Arbeitslosenversicherung zu vermeiden. Indem diese Bestimmung vorsieht, dass die Altersleistungen von den Leistungen der Arbeitslosenversicherung in Abzug gebracht werden, verhindert sie die Auszahlung von BetrÃ¤gen, die insgesamt hÃ¶her sind als diejenigen, welche zu einem bloss "angemessenen" Ersatz fÃ¼r ErwerbsausfÃ¤lle im Sinne von Art. 1a Abs. 1 AVIG notwendig sind. Vom Standpunkt des Gesetzgebers aus gesehen wÃ¤re eine Kumulierung von Leistungen, die eine hÃ¶here EntschÃ¤digung als dieser "angemessene Ersatz" nach sich zÃ¶ge, ungerechtfertigt und wÃ¼rde eine Ungleichbehandlung der Personen im vorzeitigen Ruhestand gegenÃ¼ber anderen Versicherten zur Folge haben (BGE 134 V 423 Erw. 3.2.2).</w:t>
      </w:r>
    </w:p>
    <w:p>
      <w:r>
        <w:t>Â Â Â Â Â Â Â Â  FÃ¼r die Anwendung von Art. 18c Abs. 1 AVIG ist nicht entscheidend, dass die Altersleistungen in Form einer Rente oder eines Kapitals ausgerichtet werden. Von Bedeutung ist hingegen, dass es sich um Leistungen handelt, auf welche der Versicherte gemÃ¤ss Vorsorgereglement Anspruch hat, weil er das von diesem Regelement fÃ¼r die GewÃ¤hrung von Altersleistungen festgesetzte Alter erreicht hat (BGE 134 V 423 Erw. 3.3, Urteil des EidgenÃ¶ssischen Versicherungsgerichts in Sachen H. vom 23. April 2004, C 214/03, Erw. 2.1).</w:t>
      </w:r>
    </w:p>
    <w:p>
      <w:r>
        <w:rPr>
          <w:b/>
        </w:rPr>
        <w:t>E. 2</w:t>
      </w:r>
    </w:p>
    <w:p>
      <w:r>
        <w:t>2.1Â Â Â Â Â Â Â Â  Unbestritten ist, dass der versicherte Verdienst Fr. 8'262.-- und das Taggeld dementsprechend Fr. 304.60 ([80 % von Fr. 8'262.--] : 21,7) betrÃ¤gt. Des Weiteren nahm die Beschwerdegegnerin angesichts dessen, dass der BeschwerdefÃ¼hrer eine TeilzeitbeschÃ¤ftigung von 56,52 % ausgeÃ¼bt hatte und nun eine Stelle im Umfang von 50 % sucht, einen totalen anrechenbaren Arbeitsausfall an (Urk. 1, Urk. 2, Urk. 7/7, Urk. 7/8). Dies ist nicht zu beanstanden.</w:t>
      </w:r>
    </w:p>
    <w:p>
      <w:r>
        <w:t>Â Â Â Â Â Â Â Â  Strittig ist, ob die von der Pensionskasse monatlich ausgerichteten Leistungen von insgesamt Fr. 6'146.35 von den dem BeschwerdefÃ¼hrer ausbezahlten ArbeitslosenentschÃ¤digungen in Abzug zu bringen sind.</w:t>
      </w:r>
    </w:p>
    <w:p>
      <w:r>
        <w:t>2.2Â Â Â Â  GemÃ¤ss Art. 13 Abs. 1 des Bundesgesetzes Ã¼ber die berufliche Alters- und Hinterlassenen- und Invalidenvorsorge (BVG) haben Anspruch auf Altersleistungen MÃ¤nner, die das 65. Altersjahr, und Frauen, die das 62. Altersjahr zurÃ¼ckgelegt haben. Die reglementarischen Bestimmungen der Vorsorgeeinrichtung kÃ¶nnen abweichend davon vorsehen, dass der Anspruch auf Altersleistungen mit der Beendigung der ErwerbstÃ¤tigkeit entsteht (Art. 13 Abs. 2 Satz 1 BVG). Eine solche Abweichung sehen die reglementarischen Bestimmungen der BVK vor. Aus den Angaben der BVK geht allerdings nicht klar hervor, ob sich die dem BeschwerdefÃ¼hrer von ihr zugesprochenen Leistungen auf die Statuten der Versicherungskasse fÃ¼r das Staatspersonal (nachfolgend: Statuten, LS 177.21) oder auf den Versicherungsvertrag der Beamtenversicherungskasse des Kantons ZÃ¼rich (nachfolgend: Versicherungsvertrag, Urk. 7/6, Urk. 12) stÃ¼tzen (Urk. 7/4/1, Urk. 7/4/4). Dies kann vorliegend offen bleiben, weil die einschlÃ¤gigen Bestimmungen jeweils deckungsgleich sind.</w:t>
      </w:r>
    </w:p>
    <w:p>
      <w:r>
        <w:t>Â Â Â Â Â Â Â Â  Der BeschwerdefÃ¼hrer wurde altershalber entlassen (Urk. 7/4/4, Urk. 7/10). Dies verkennt er, soweit er von einem (freiwilligen) AltersrÃ¼cktritt ausgeht, welcher erst ab vollendetem 60. Altersjahr zulÃ¤ssig ist (Urk. 1, Urk. 3/2). Eine altershalbe Entlassung durch den Arbeitgeber ist mÃ¶glich, falls die versicherte Person das 55. Altersjahr vollendet hat und sachlich ausreichende GrÃ¼nde dies rechtfertigen (Â§ 10 der Statuten beziehungsweise Â§ 11 des Versicherungsvertrages). Dies war beim BeschwerdefÃ¼hrer der Fall (Urk. 7/10). Bei einer altershalben Entlassung besteht ein reglementarischer Anspruch auf eine Altersrente, einen ÃberbrÃ¼ckungszuschuss sowie Kinderrenten (Â§ 16, Â§ 17 und Â§ 18 der Statuten bzw. Â§ 11, Â§ 18 und Â§ 84 des Versicherungsvertrags). Dementsprechend ist Art. 18c AVIG anzuwenden, und die entsprechenden Leistungen der BVK sind von denjenigen der Arbeitslosenversicherung abzuziehen (vgl. Erw. 1.2). Daran Ã¤ndert nichts, dass der BeschwerdefÃ¼hrer wegen des frÃ¼hzeitigen Bezugs der Altersrente deren KÃ¼rzung in Kauf nehmen muss (vgl. Urk. 1). Unerheblich ist sodann, dass die Ausrichtung der Kinderrenten das Vorhandensein von Kindern voraussetzt, und insofern eine Zweckbestimmung besteht (vgl. Urk. 1). Denn auch die Kinderrenten wurden dem BeschwerdefÃ¼hrer deswegen zuerkannt, weil die reglementarischen Bestimmungen diesen Anspruch vorsehen, mithin handelt es sich dabei auch um eine Altersleistung im Sinne von Art. 18c Abs. 1 AVIG und 32 AVIV.</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