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AL.2009.00131 vom 25. August 2010</w:t>
      </w:r>
    </w:p>
    <w:p>
      <w:r>
        <w:t>ZH Sozialversicherungsgericht, 2010-08-25, DE</w:t>
      </w:r>
    </w:p>
    <w:p>
      <w:r>
        <w:rPr>
          <w:b/>
        </w:rPr>
        <w:t xml:space="preserve">Quelle: </w:t>
      </w:r>
      <w:r>
        <w:t>https://mcp.opencaselaw.ch/entscheid/zh_sozialversicherungsgericht_AL.2009.00131</w:t>
      </w:r>
    </w:p>
    <w:p>
      <w:r>
        <w:t>FR: ZH_SOZIALVERSICHERUNGSGERICHT AL.2009.00131 du 25 août 2010</w:t>
      </w:r>
    </w:p>
    <w:p>
      <w:r>
        <w:t>IT: ZH_SOZIALVERSICHERUNGSGERICHT AL.2009.00131 del 25 agosto 2010</w:t>
      </w:r>
    </w:p>
    <w:p>
      <w:pPr>
        <w:pStyle w:val="Heading2"/>
      </w:pPr>
      <w:r>
        <w:t>Erwägungen</w:t>
      </w:r>
    </w:p>
    <w:p>
      <w:r>
        <w:rPr>
          <w:b/>
        </w:rPr>
        <w:t>E. 3</w:t>
      </w:r>
    </w:p>
    <w:p>
      <w:r>
        <w:t>3.1Â Â Â Â  Eine Leistungsverweigerung infolge Verletzung der Schadenminderungspflicht setzt voraus, dass dem Versicherten ein schweres Verschulden, also vorsÃ¤tzliches oder grobfahrlÃ¤ssiges Handeln oder Unterlassen vorgeworfen werden kann (Urs Burgherr, Die InsolvenzentschÃ¤digung, ZahlungsunfÃ¤higkeit des Arbeitgebers als versichertes Risiko, Diss. ZÃ¼rich 2004, S. 166 FN 640). Das Ausmass der vorausgesetzten Schadenminderungspflicht richtet sich nach den jeweiligen UmstÃ¤nden des Einzelfalls. Vom Arbeitnehmer wird in der Regel nicht verlangt, dass er bereits wÃ¤hrend des bestehenden ArbeitsverhÃ¤ltnisses gegen den Arbeitgeber die Betreibung einleitet oder eine Klage einreicht. Er hat jedoch diesem gegenÃ¼ber seine Lohnforderung in eindeutiger und unmissverstÃ¤ndlicher Weise geltend zu machen. Zu weitergehenden Schritten ist die versicherte Person dann gehalten, wenn es sich um erhebliche LohnausstÃ¤nde handelt und sie konkret mit einem Lohnverlust rechnen muss. Denn es geht auch fÃ¼r die Zeit vor AuflÃ¶sung des ArbeitsverhÃ¤ltnisses nicht an, dass die versicherte Person ohne hinreichenden Grund wÃ¤hrend lÃ¤ngerer Zeit keine rechtlichen Schritte zur Realisierung erheblicher LohnausstÃ¤nde unternimmt, obschon sie konkret mit dem Verlust der geschuldeten GehÃ¤lter rechnen muss (Urteil des EidgenÃ¶ssischen Versicherungsgerichts in Sachen L. vom 19. Oktober 2006, C 144/06).</w:t>
      </w:r>
    </w:p>
    <w:p>
      <w:r>
        <w:t>3.2Â Â Â Â  Die PrÃ¼fung der Frage, ob dem BeschwerdefÃ¼hrer eine Verletzung seiner Schadenminderungspflicht vorzuwerfen ist, umfasst einerseits die Periode zwischen der Arbeitsaufnahme ab dem 5. MÃ¤rz 2007 bis zur Beendigung des ArbeitsverhÃ¤ltnisses am 30. November 2007 und andererseits diejenige von diesem Zeitpunkt bis zur Einleitung der Betreibung.</w:t>
      </w:r>
    </w:p>
    <w:p>
      <w:r>
        <w:t>3.2.1Â Â Â Â Â Â Â Â  WÃ¤hrend des ArbeitsverhÃ¤ltnisses erhielt der BeschwerdefÃ¼hrer laut Abrechnungen die vollstÃ¤ndigen Lohnzahlungen bis zum 31. Juli 2007, mithin wÃ¤hrend fÃ¼nf Monaten pÃ¼nktlich (Urk. 7/13-16). Nachdem am 26. November 2007 der seit 1. August 2007 unbezahlt gebliebene Lohn trotz mÃ¼ndlicher Zusicherung immer noch nicht bezahlt worden war, reagierte er folgerichtig mit der KÃ¼ndigung des ArbeitsverhÃ¤ltnisses per 30. November 2007 (Urk. 7/17). Am 28. November 2007 drohte er der Arbeitgeberin die Betreibung an, sollte sie bis zum 10. Dezember 2007 die Lohnforderung nicht beglichen haben (Urk. 7/2c). Im Lichte der angefÃ¼hrten Rechtsprechung kann ihm daher nicht vorgeworfen werden, er habe vor AuflÃ¶sung des ArbeitsverhÃ¤ltnisses seine Schadenminderungspflicht verletzt (vgl. Urteil des EidgenÃ¶ssischen Versicherungsgerichts in Sachen G. vom 19. Oktober 2006, C 163/06).</w:t>
      </w:r>
    </w:p>
    <w:p>
      <w:r>
        <w:t>3.2.2Â Â  Zu prÃ¼fen bleibt das Verhalten nach diesem Zeitpunkt. Ende Januar 2008 leitete der BeschwerdefÃ¼hrer gegen seine ehemalige Arbeitgeberin die Betreibung ein (Zahlungsbefehl vom 29. Januar 2008, Urk. 7/11/3). Nach der Betreibungsandrohung vom 28. November 2007 (vgl. Urk. 7/2c-d) und der Kenntnisnahme des BeschwerdefÃ¼hrers, dass der GeschÃ¤ftsfÃ¼hrer seiner Arbeitgeberin zurÃ¼ckgetreten war (vgl. Urk. 7/26), traf er nach eigener Darstellung AbklÃ¤rungen darÃ¼ber, welches Betreibungsamt fÃ¼r die Betreibung gegen seine Arbeitgeberin Ã¶rtlich zustÃ¤ndig sei. Aktenkundig ist, dass er sich bei der Beschwerdegegnerin am 10. Januar 2008 telefonisch nach dem Vorgehen erkundigte (Urk. 7/25). Eine telefonische Antwort gab ihm diese am 24. Januar 2008 (Urk. 7/25), worauf der BeschwerdefÃ¼hrer die Betreibung anhob (Zahlungsbefehl vom 29. Januar 2008, Urk. 7/11/3).</w:t>
      </w:r>
    </w:p>
    <w:p>
      <w:r>
        <w:t>Â Â Â Â Â Â Â Â  Die Zeitspanne bis zur Einleitung der Betreibung stellt angesichts des Umstandes, dass der BeschwerdefÃ¼hrer seit der KÃ¼ndigung des ArbeitsverhÃ¤ltnisses nicht untÃ¤tig geblieben ist, sondern sich bemÃ¼ht hat, die notwendigen Schritte vorzunehmen, keine Verletzung der Schadenminderungspflicht dar. Dem BeschwerdefÃ¼hrer ist zugute zu halten, dass er nicht untÃ¤tig zugewartet hat, bis ein anderer GlÃ¤ubiger gegen die Arbeitgeberin betreibungsrechtliche Schritte unternommen, sondern er die Betreibung selber eingeleitet hat.</w:t>
      </w:r>
    </w:p>
    <w:p>
      <w:r>
        <w:t>4.Â Â Â Â Â Â  Nach dem Dargelegten ist die Sache an die Beschwerdegegnerin zurÃ¼ckzuweisen, damit sie die weiteren Anspruchsvoraussetzungen prÃ¼fe und Ã¼ber den Anspruch des BeschwerdefÃ¼hrers auf InsolvenzentschÃ¤digung neu verfÃ¼ge.</w:t>
      </w:r>
    </w:p>
    <w:p>
      <w:r>
        <w:t>Das Gericht erkennt:</w:t>
      </w:r>
    </w:p>
    <w:p>
      <w:r>
        <w:t>1.Â Â Â Â Â Â Â Â  In Gutheissung der Beschwerde wird der Einspracheentscheid vom 29. April 2009 aufgehoben und die Sache an die Beschwerdegegnerin zurÃ¼ckgewiesen, damit sie, nach erfolgter AbklÃ¤rung im Sinne der ErwÃ¤gungen, Ã¼ber den Anspruch des BeschwerdefÃ¼hrers auf InsolvenzentschÃ¤digung neu verfÃ¼ge.</w:t>
      </w:r>
    </w:p>
    <w:p>
      <w:r>
        <w:t>2.Â Â Â Â Â Â Â Â  Das Verfahren ist kostenlos.</w:t>
      </w:r>
    </w:p>
    <w:p>
      <w:r>
        <w:t>3.Â Â Â Â Â Â Â Â Â Â  Zustellung gegen Empfangsschein an:</w:t>
      </w:r>
    </w:p>
    <w:p>
      <w:r>
        <w:t>- A.___</w:t>
      </w:r>
    </w:p>
    <w:p>
      <w:r>
        <w:t>- Arbeitslosenkasse des Kantons ZÃ¼rich</w:t>
      </w:r>
    </w:p>
    <w:p>
      <w:r>
        <w:t>- AWA Amt fÃ¼r Wirtschaft und Arbeit</w:t>
      </w:r>
    </w:p>
    <w:p>
      <w:r>
        <w:t>- Staatssekretariat fÃ¼r Wirtschaft seco</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