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AL.2008.00141 vom 9. Februar 2010</w:t>
      </w:r>
    </w:p>
    <w:p>
      <w:r>
        <w:t>ZH Sozialversicherungsgericht, 2010-02-09, DE</w:t>
      </w:r>
    </w:p>
    <w:p>
      <w:r>
        <w:rPr>
          <w:b/>
        </w:rPr>
        <w:t xml:space="preserve">Quelle: </w:t>
      </w:r>
      <w:r>
        <w:t>https://mcp.opencaselaw.ch/entscheid/zh_sozialversicherungsgericht_AL.2008.00141</w:t>
      </w:r>
    </w:p>
    <w:p>
      <w:r>
        <w:t>FR: ZH_SOZIALVERSICHERUNGSGERICHT AL.2008.00141 du 9 février 2010</w:t>
      </w:r>
    </w:p>
    <w:p>
      <w:r>
        <w:t>IT: ZH_SOZIALVERSICHERUNGSGERICHT AL.2008.00141 del 9 febbraio 2010</w:t>
      </w:r>
    </w:p>
    <w:p>
      <w:pPr>
        <w:pStyle w:val="Heading2"/>
      </w:pPr>
      <w:r>
        <w:t>Erwägungen</w:t>
      </w:r>
    </w:p>
    <w:p>
      <w:r>
        <w:rPr>
          <w:b/>
        </w:rPr>
        <w:t>E. 3.1</w:t>
      </w:r>
    </w:p>
    <w:p>
      <w:r>
        <w:t>Â Â Â  Die Verwaltung hat in pflichtgemÃ¤sser WÃ¼rdigung der gesamten Aktenlage mit nachvollziehbarer BegrÃ¼ndung erkannt, der BeschwerdefÃ¼hrer hÃ¤tte keinen Anspruch auf InsolvenzentschÃ¤digung, weil er in Verletzung der Schadenminderungspflicht nicht alles unternommen hÃ¤tte, um seine AnsprÃ¼che gegenÃ¼ber der ehemaligen Arbeitgeberin zu wahren. Zwar seien nach der AuflÃ¶sung des ArbeitsverhÃ¤ltnisses Ende November 2006 die Provisionsforderungen umgehend mÃ¼ndlich gefordert, jedoch seien keine rechtlichen Schritte gegen die Arbeitgeberin unternommen worden. Die erste zielgerichtete Handlung sei - nach vier Monaten - die Eingabe der Forderung beim Konkursamt Z.___ gewesen (Schreiben vom 30. MÃ¤rz 2007).</w:t>
      </w:r>
    </w:p>
    <w:p>
      <w:r>
        <w:rPr>
          <w:b/>
        </w:rPr>
        <w:t>E. 3.2</w:t>
      </w:r>
    </w:p>
    <w:p>
      <w:r>
        <w:t>Â Â Â  Die Vorbringen des BeschwerdefÃ¼hrers vermÃ¶gen diese Betrachtungsweise nicht in Zweifel zu ziehen. Denn es kann nicht Sache der versicherten Person sein, darÃ¼ber zu entscheiden, ob sie weitere Vorkehren zur Realisierung der LohnansprÃ¼che treffen will und ob diese erfolgversprechend sind oder nicht. So unternahm der BeschwerdefÃ¼hrer wÃ¤hrend insgesamt vier Monaten keine rechtlichen Schritte. Im Gegenteil beschrÃ¤nkte er sich auf eine Eingabe beim Konkursamt Z.___, ohne vorgÃ¤ngig seine ehemalige Arbeitgeberin schriftlich aufgefordert oder gemahnt zu haben. Die Androhung zu einem frÃ¼heren Zeitpunkt eines Zwangsvollstreckungsverfahrens wÃ¤re sodann durchaus sinnvoll gewesen, weil bekanntlich viele Schuldner erst unter dem Druck der unmittelbar bevorstehenden KonkurserÃ¶ffnung oder PfÃ¤ndung ihren Zahlungspflichten nachkommen (BGE 131 V 196 Erw. 4.1.2 S. 198). Ferner hatte der BeschwerdefÃ¼hrer seit Sommer 2006 Kenntnis der prekÃ¤ren finanziellen VerhÃ¤ltnisse seiner Arbeitgeberin, weshalb er bereits zu einem frÃ¼heren Zeitpunkt Schritte zur Durchsetzung seiner LohnansprÃ¼che hÃ¤tte unternehmen mÃ¼ssen. Die Eingabe der Lohnforderung allein vermag die Anforderungen an die Schadenminderungspflicht nicht zu erfÃ¼llen. Die konsequente Durchsetzung der offenen Lohnforderungen auf dem Betreibungsweg und notwendigenfalls auch durch Einleitung von gerichtlichen Schritten kann von Versicherten in solchen Situationen gefordert werden, gerade wenn - wie vorliegend - dem BeschwerdefÃ¼hrer bereits zu einem frÃ¼hen Zeitpunkt klar sein musste, dass die Begleichung der LohnausstÃ¤nde angesichts der finanziellen Situation der Arbeitgeberin sich als schwierig erweisen kÃ¶nnte. Der BeschwerdefÃ¼hrer muss sich demnach vorwerfen lassen, dass er zu lange mit konkreten Schritten zur Geltendmachung seiner Lohnforderungen zuwartete, was ihm zumindest als grobfahrlÃ¤ssiges Handeln oder Unterlassen vorgeworfen werden muss. Die Arbeitslosenkasse lehnte demnach den Anspruch auf InsolvenzentschÃ¤digung zu Recht ab. Folglich erÃ¼brigt sich die PrÃ¼fung, ob die geltend gemachte Provisionsforderung genÃ¼gend glaubhaft gemacht worden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Unia ZÃ¼rich-Schaffhausen</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