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AL.2007.00262 vom 30. Juni 2009</w:t>
      </w:r>
    </w:p>
    <w:p>
      <w:r>
        <w:t>ZH Sozialversicherungsgericht, 2009-06-30, DE</w:t>
      </w:r>
    </w:p>
    <w:p>
      <w:r>
        <w:rPr>
          <w:b/>
        </w:rPr>
        <w:t xml:space="preserve">Quelle: </w:t>
      </w:r>
      <w:r>
        <w:t>https://mcp.opencaselaw.ch/entscheid/zh_sozialversicherungsgericht_AL.2007.00262</w:t>
      </w:r>
    </w:p>
    <w:p>
      <w:r>
        <w:t>FR: ZH_SOZIALVERSICHERUNGSGERICHT AL.2007.00262 du 30 juin 2009</w:t>
      </w:r>
    </w:p>
    <w:p>
      <w:r>
        <w:t>IT: ZH_SOZIALVERSICHERUNGSGERICHT AL.2007.00262 del 30 giugno 2009</w:t>
      </w:r>
    </w:p>
    <w:p>
      <w:pPr>
        <w:pStyle w:val="Heading2"/>
      </w:pPr>
      <w:r>
        <w:t>Erwägungen</w:t>
      </w:r>
    </w:p>
    <w:p>
      <w:r>
        <w:rPr>
          <w:b/>
        </w:rPr>
        <w:t>E. 2</w:t>
      </w:r>
    </w:p>
    <w:p>
      <w:r>
        <w:t>2.1Â Â Â Â  Die ArbeitslosenentschÃ¤digung wird in Form von Taggeldern ausgerichtet, ein volles Taggeld betrÃ¤gt 80 % oder 70 % des versicherten Verdienstes (Art. 22 Abs. 1 und 2 AVIG).</w:t>
      </w:r>
    </w:p>
    <w:p>
      <w:r>
        <w:t>Â Â Â Â Â Â Â Â  Als versicherter Verdienst gilt der im Sinne der AHV-Gesetzgebung massgebende Lohn, der wÃ¤hrend eines Bemessungszeitraumes aus einem oder mehreren ArbeitsverhÃ¤ltnissen normalerweise erzielt wurde (Art. 23 Abs. 1 AVIG). Nicht versichert ist gemÃ¤ss Art. 23 Abs. 3 AVIG ein Nebenverdienst. Als solcher gilt jeder Verdienst, den ein Versicherter ausserhalb seiner normalen Arbeitszeit als Arbeitnehmer oder ausserhalb des ordentlichen Rahmens seiner selbstÃ¤ndigen ErwerbstÃ¤tigkeit erzielt.</w:t>
      </w:r>
    </w:p>
    <w:p>
      <w:r>
        <w:t>Â Â Â Â Â Â Â Â  Als Zwischenverdienst gilt gemÃ¤ss Art. 24 Abs. 1 AVIG jedes Einkommen aus unselbstÃ¤ndiger oder selbstÃ¤ndiger ErwerbstÃ¤tigkeit, das der Arbeitslose innerhalb einer Kontrollperiode erzielt. Der Versicherte hat Anspruch auf Ersatz des Verdienstausfalls. Nach Art. 24 Abs. 3 AVIG gilt als Verdienstausfall die Differenz zwischen dem in der Kontrollperiode erzielten Zwischenverdienst und dem versicherten Verdienst. Ein Nebenverdienst (Art. 23 Abs. 3) bleibt unberÃ¼cksichtigt.Â</w:t>
      </w:r>
    </w:p>
    <w:p>
      <w:r>
        <w:t>2.2Â Â Â Â  Was die Abgrenzung zwischen Nebenverdienst und Zwischenverdienst angeht, lÃ¤sst sich aus der gesetzlichen Definition in Art. 23 Abs. 3 AVIG ableiten, dass als NebenverdiensttÃ¤tigkeit jede TÃ¤tigkeit anzusehen ist, welche bereits vor Beginn der Rahmenfrist fÃ¼r den Leistungsbezug aufgenommen und nebst einer VollzeitbeschÃ¤ftigung ausgeÃ¼bt wurde. Als ZwischenverdiensttÃ¤tigkeit ist dagegen jede TÃ¤tigkeit zu qualifizieren, welche erst in der Rahmenfrist fÃ¼r den Leistungsbezug aufgenommen wurde - abgesehen von der hier nicht interessierenden Ausdehnung eines Nebenerwerbs.</w:t>
      </w:r>
    </w:p>
    <w:p>
      <w:r>
        <w:t>3.Â Â Â Â Â Â  Nach Art. 53 Abs. 2 des Bundesgesetzes Ã¼ber den Allgemeinen Teil des Sozialversicherungsrechts (ATSG) kann der VersicherungstrÃ¤ger auf formell rechtskrÃ¤ftige VerfÃ¼gungen oder Einspracheentscheide zurÃ¼ckkommen, wenn diese zweifellos unrichtig sind und wenn ihre Berichtigung von erheblicher Bedeutung ist. Den formell rechtskrÃ¤ftigen VerfÃ¼gungen gleichgestellt sind auch die im formlosen Verfahren ergangenen Entscheide, soweit sie eine mit dem Ablauf der Beschwerdefrist bei formellen VerfÃ¼gungen vergleichbare RechtsbestÃ¤ndigkeit erreicht haben. Taggeldabrechnungen der Arbeitslosenversicherung, die nicht in die Form einer formellen VerfÃ¼gung gekleidet werden, weisen materiell VerfÃ¼gungscharakter auf (BGE 125 V 476 Erw. 1; BGE 122 V 368 Erw. 2 mit Hinweisen). FÃ¼r die Verwaltung ist die RechtsbestÃ¤ndigkeit nach Ablauf einer Zeitspanne eingetreten, welche der Rechtsmittelfrist bei formellen VerfÃ¼gungen entspricht. Zu einem spÃ¤teren Zeitpunkt bedarf demnach das ZurÃ¼ckkommen auf eine faktische VerfÃ¼gung, z.B. auf eine Taggeldabrechnung, eines RÃ¼ckkommenstitels in Form einer WiedererwÃ¤gung oder einer prozessualen Revision, wÃ¤hrend vor Ablauf dieser Frist ein RÃ¼ckkommen auf unrichtige Taggeldabrechnungen ohne Bindung an die Voraussetzungen fÃ¼r einen RÃ¼ckkommenstitel mÃ¶glich ist (BGE 129 V 110; Urteil des EidgenÃ¶ssischen Versicherungsgerichts in Sachen N. vom 14. Juli 2003, C 7/02, Erw. 3.2).</w:t>
      </w:r>
    </w:p>
    <w:p>
      <w:r>
        <w:t>Â Â Â Â Â Â Â Â  Wenn die Verwaltung - wie im vorliegenden Fall - ein WiedererwÃ¤gungsgesuch materiell geprÃ¼ft und einen erneut ablehnenden, mit der ursprÃ¼nglichen VerfÃ¼gung Ã¼bereinstimmenden, Sachentscheid gefÃ¤llt hat, hat das Gericht auf Beschwerde hin nur die Frage zu prÃ¼fen, ob die Verwaltung das Vorliegen der WiedererwÃ¤gungsvoraussetzungen zu Recht verneint hat. Prozessthema ist also, ob die Verwaltung zu Recht die ursprÃ¼ngliche, formell rechtskrÃ¤ftige VerfÃ¼gung nicht als zweifellos unrichtig und/oder ihre Korrektur als von unerheblicher Bedeutung qualifizierte (BGE 117 V 12 ff. Erw. 2).</w:t>
      </w:r>
    </w:p>
    <w:p>
      <w:r>
        <w:t>4.Â Â Â Â Â Â  Die Arbeitslosenkasse hat im angefochtenen Einspracheentscheid die Voraussetzungen fÃ¼r eine WiedererwÃ¤gung der Taggeldabrechnungen fÃ¼r die Kontrollperioden Juli 2003 bis Januar 2004 verneint (Urk. 2, Urk. 3/2). Zur BegrÃ¼ndung fÃ¼hrte sie an, bei den EinkÃ¼nften aus der ab 15. Oktober 2002 ausgeÃ¼bten BadmeistertÃ¤tigkeit handle es sich um Zwischenverdienst, da der BeschwerdefÃ¼hrer diese TÃ¤tigkeit wÃ¤hrend der laufenden Leistungsrahmenfrist (17. Januar 2002 bis 16. Januar 2004) aufgenommen habe. Um Nebenverdienst hÃ¤tte es sich nur handeln kÃ¶nnen, wenn diese TÃ¤tigkeit bereits vor Beginn der laufendenÂ  Leistungsrahmenfrist ausgeÃ¼bt worden wÃ¤re, was nicht der Fall sei. Die EinkÃ¼nfte aus der BadmeistertÃ¤tigkeit seien daher zu Recht als Zwischenverdienst angerechnet worden. Die Taggeldabrechnungen erwiesen sich demgemÃ¤ss als korrekt, so dass fÃ¼r eine WiedererwÃ¤gung kein Raum bestehe.</w:t>
      </w:r>
    </w:p>
    <w:p>
      <w:r>
        <w:t>Â Â Â Â Â Â Â Â  Die Feststellungen der Arbeitslosenkasse sind zutreffend. Die gegenteilige Auffassung des BeschwerdefÃ¼hrers steht in Widerspruch zum Gesetz (vgl. Erw. 2.2).</w:t>
      </w:r>
    </w:p>
    <w:p>
      <w:r>
        <w:t>Â Â Â Â Â Â Â Â  Nach dem Gesagten kam die Arbeitslosenkasse zu Recht zum Schluss, dass die Taggeldabrechnungen korrekt vorgenommen wurden, weshalb eine WiedererwÃ¤gung ausgeschlossen ist. Der angefochtene Einspracheentscheid vom 19. Juli 2007 erweist sich daher als rechtens und die Beschwerde ist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X.___</w:t>
      </w:r>
    </w:p>
    <w:p>
      <w:r>
        <w:t>- Unia Arbeitslosenkasse</w:t>
      </w:r>
    </w:p>
    <w:p>
      <w:r>
        <w:t>- Staatssekretariat fÃ¼r Wirtschaft seco</w:t>
      </w:r>
    </w:p>
    <w:p>
      <w:r>
        <w:t>- AWA Amt fÃ¼r Wirtschaft und Arbeit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