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AL.2007.00144 vom 31. Juli 2008</w:t>
      </w:r>
    </w:p>
    <w:p>
      <w:r>
        <w:t>ZH Sozialversicherungsgericht, 2008-07-31, DE</w:t>
      </w:r>
    </w:p>
    <w:p>
      <w:r>
        <w:rPr>
          <w:b/>
        </w:rPr>
        <w:t xml:space="preserve">Quelle: </w:t>
      </w:r>
      <w:r>
        <w:t>https://mcp.opencaselaw.ch/entscheid/zh_sozialversicherungsgericht_AL.2007.00144</w:t>
      </w:r>
    </w:p>
    <w:p>
      <w:r>
        <w:t>FR: ZH_SOZIALVERSICHERUNGSGERICHT AL.2007.00144 du 31 juillet 2008</w:t>
      </w:r>
    </w:p>
    <w:p>
      <w:r>
        <w:t>IT: ZH_SOZIALVERSICHERUNGSGERICHT AL.2007.00144 del 31 luglio 2008</w:t>
      </w:r>
    </w:p>
    <w:p>
      <w:pPr>
        <w:pStyle w:val="Heading2"/>
      </w:pPr>
      <w:r>
        <w:t>Erwägungen</w:t>
      </w:r>
    </w:p>
    <w:p>
      <w:r>
        <w:rPr>
          <w:b/>
        </w:rPr>
        <w:t>E. 1</w:t>
      </w:r>
    </w:p>
    <w:p>
      <w:r>
        <w:t>1.1Â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1.2Â Â Â Â</w:t>
      </w:r>
    </w:p>
    <w:p>
      <w:r>
        <w:t>1.2.1Â Â Â Â Â Â Â Â  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(und ihre Ehegatten),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1.2.2Â Â  Wie das bundesgerichtlichen Rechtsprechung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oder seine mitarbeitende Ehegattin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daher in analoger Anwendung dieser Bestimmung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oder den Ehegatten bei Bedarf erneut als Arbeitnehmerin beziehungsweise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Â Â Â Â Â Â Â Â  Der Rechtsmissbrauch liegt somit nach der dargelegten Auffassung des EidgenÃ¶ssischen Versicherungsgerichts (heute: Bundesgericht) in der zweckwidrigen Verwendung des Rechtsinstitutes der KÃ¼ndigung (zur zweckwidrigen Verwendung eines Rechtsinstituts als Rechtsmissbrauchstatbestand vgl. HÃ¤felin/MÃ¼ller/ Uhlmann, Grundriss des Allgemeinen Verwaltungsrechts, 5. Auflage, ZÃ¼rich 2006, Rz 716).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oder ihre Ehegatten fÃ¼r einen vorÃ¼bergehenden Arbeitsausfall in ihrem Betrieb Leistungen der Arbeitslosenversicherung beziehen kÃ¶nnen.</w:t>
      </w:r>
    </w:p>
    <w:p>
      <w:r>
        <w:t>1.2.3Â Â  Nach der bundesgerichtlichen Rechtsprechung setzt die Annahme eines Umgehungstatbestandes im dargelegten Sinne nicht voraus, dass der arbeitgeberÃ¤hnlichen Person im konkreten Fall tatsÃ¤chlich ein rechtsmissbrÃ¤uchliches Verhalten nachgewiesen werden kann, sondern mit der analogen Anwendung von Art. 31 Abs. 3 lit. c AVIG auf arbeitslose Personen mit arbeitgeberÃ¤hnlicher Stellung soll vielmehr schon dem alleinigen abstrakten Risiko eines Rechtsmissbrauchs begegnet werden (vgl. Urteil des EidgenÃ¶ssischen Versicherungsgerichts in Sachen T. vom 15. April 2004, C 245/03, Erw. 3 mit Hinweis). Dies hat zur Folge, dass die arbeitslos gewordene arbeitgeberÃ¤hnliche Person oder ihr Ehegatte allein aufgrund der beibehaltenen arbeitgeberÃ¤hnlichen Stellung keinen Anspruch auf ArbeitslosenentschÃ¤digung hat, ohne dass zu prÃ¼fen ist, ob die AuflÃ¶sung des ArbeitsverhÃ¤ltnisses tatsÃ¤chlich in rechtsmissbrÃ¤uchlicher Absicht erfolgt ist (vgl. JÃ¤ggi, EingeschrÃ¤nkter Anspruch auf ArbeitslosenentschÃ¤digung bei arbeitgeberÃ¤hnlicher Stellung durch analoge Anwendung von Art. 31 Abs. 3 lit. c AVIG, in SZS 48/2004 S. 8).</w:t>
      </w:r>
    </w:p>
    <w:p>
      <w:r>
        <w:rPr>
          <w:b/>
        </w:rPr>
        <w:t>E. 1.3</w:t>
      </w:r>
    </w:p>
    <w:p>
      <w:r>
        <w:t>1.3.1Â Â  Nach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Ferner bestimmt Art. 53 Abs. 2 ATSG, dass der VersicherungstrÃ¤ger auf formell rechtskrÃ¤ftige VerfÃ¼gungen und Einspracheentscheide zurÃ¼ckkommen kann, wenn diese zweifellos unrichtig sind und wenn ihre Berichtigung von erheblicher Bedeutung ist. Diese Regelung entspricht der Rechtslage, wie sie aufgrund von hÃ¶chstrichterlichen Prinzipien bereits vor dem Inkrafttreten des ATSG galt (BGE 122 V 21 Erw. 3a, 121 V 4 Erw. 6, je mit Hinweisen). Die damaligen Prinzipien waren auch auf Entscheide anwendbar, die formlos getroffen worden waren und innert einer nach den UmstÃ¤nden angemessenen PrÃ¼fungs- und Ãberlegungsfrist nicht beanstandet worden waren (BGE 129 V 111 f. Erw. 1.2.2 mit Hinweisen). Dies muss unter der Herrschaft der Regelung in Art. 53 Abs. 1 und Abs. 2 ATSG, welche den bisherigen richterlichen Prinzipien entspricht, Ã¼ber den Wortlaut dieser Bestimmungen hinaus weiterhin gelten (vgl. Kieser, ATSG-Kommentar, Art. 53 Rz 8 und Rz 19).</w:t>
      </w:r>
    </w:p>
    <w:p>
      <w:r>
        <w:t>1.3.2Â Â Â Â Â Â Â Â  Versicherungsleistungen, auf die der EmpfÃ¤nger oder die EmpfÃ¤ngerin keinen Anspruch hatte und die demgemÃ¤ss zu Unrecht bezogen worden sind, sind zurÃ¼ckzuerstatten. Dieser Grundsatz war fÃ¼r das Arbeitslosenversicherungsrecht bis Ende 2002 in Art. 95 Abs. 1 AVIG aufgestellt und ist seit dem 1. Januar 2003 als allgemeine Regel in Art. 25 Abs. 1 Satz 1 ATSG festgelegt. DarÃ¼ber hinaus sind am 1. Juli 2003 die spezifisch arbeitslosenversicherungsrechtlichen RÃ¼ckerstattungsnormen in Art. 95 Abs. 1 bis und Abs. 1 ter AVIG in Kraft getreten.</w:t>
      </w:r>
    </w:p>
    <w:p>
      <w:r>
        <w:t>Â Â Â Â Â Â Â Â  Leistungen, die aufgrund einer formell rechtskrÃ¤ftigen VerfÃ¼gung ausgerichtet worden sind, sowie auch formlos verfÃ¼gte Leistungen dÃ¼rfen nach der Rechtsprechung des EidgenÃ¶ssischen Versicherungsgerichts, die nach dem Inkrafttreten des ATSG weiterhin GÃ¼ltigkeit hat (vgl. Kieser, ATSG-Kommentar, Art. 25 Rz 2), allerdings nur dann zurÃ¼ckgefordert werden, wenn entweder die Voraussetzungen fÃ¼r eine WiedererwÃ¤gung oder die Voraussetzungen fÃ¼r eine prozessuale Revision erfÃ¼llt sind.</w:t>
      </w:r>
    </w:p>
    <w:p>
      <w:r>
        <w:rPr>
          <w:b/>
        </w:rPr>
        <w:t>E. 2</w:t>
      </w:r>
    </w:p>
    <w:p>
      <w:r>
        <w:t>2.1Â Â Â Â  Streitig und zu prÃ¼fen ist, ob die RÃ¼ckforderung rechtens ist.</w:t>
      </w:r>
    </w:p>
    <w:p>
      <w:r>
        <w:rPr>
          <w:b/>
        </w:rPr>
        <w:t>E. 2.2</w:t>
      </w:r>
    </w:p>
    <w:p>
      <w:r>
        <w:t>2.2.1Â Â  Die Beschwerdegegnerin machte im Einspracheentscheid und in der Beschwerdeantwort geltend, vorliegend sei ein Konglomerat von Firmen zu beurteilen, innerhalb dessen die BeschwerdefÃ¼hrerin aufgrund der verwandtschaftlichen Verflechtung beziehungsweise ihr Ehemann aufgrund seiner arbeitgeberÃ¤hnlichen Stellung die MÃ¶glichkeit einer Einflussnahme auf die Firma beibehalten hÃ¤tten (Urk. 2, Urk. 7).</w:t>
      </w:r>
    </w:p>
    <w:p>
      <w:r>
        <w:t>2.2.2Â Â  Nach der Rechtsprechung liegt eine besondere Situation mit erhÃ¶hter Missbrauchsgefahr vor, wenn verschiedene Firmen, welche von Mitgliedern der gleichen Familie beherrscht werden, den Tatbestand eines Firmenkonglomerats erfÃ¼llen. Ein Konglomerat ist anzunehmen, wenn verschiedene in ihrer GeschÃ¤ftstÃ¤tigkeit vergleichbare Firmen eng verflochten sind und fast identisch zusammengesetzte Entscheidungsgremien aufweisen, so dass sie als ein einziges kompaktes Ganzes erscheinen. Versicherte, die von einem Teil eines Firmenkonglomerats darstellenden Erstbetrieb entlassen wurden, und welche gleichzeitig in einem zum gleichen Konglomerat gehÃ¶renden Drittbetrieb eine arbeitgeberÃ¤hnliche Stellung innehaben, kÃ¶nnten sich bei Bedarf in einem anderen von der GeschÃ¤ftstÃ¤tigkeit her vergleichbaren Betrieb des Konglomerats wieder anstellen lassen. Aus diesem Grund gelten diese Personen auch in Bezug auf den Erstbetrieb als arbeitgeberÃ¤hnliche Person. Bei Verlust der Anstellung im Erstbetrieb besteht daher kein Versicherungsschutz. Arbeitslosenversicherungsrechtlich wird ein Firmenkonglomerat daher nicht anders behandelt, als eine Firma, welche verschiedene Abteilungen und Betriebe hat (Urteile des EidgenÃ¶ssischen Versicherungsgerichts in Sachen M. vom 11. Juli 2005, C 52/05, Erw. 2 und in Sachen K. vom 14. MÃ¤rz 2001, C 376/99, Erw. 3; in Sachen D. vom 17. MÃ¤rz 2003, C 219/02, Erw. 2.3).</w:t>
      </w:r>
    </w:p>
    <w:p>
      <w:r>
        <w:t>2.2.3Â Â  E.___, offenbar der Bruder von B.___, ist VerwaltungsratsprÃ¤sident der A.___ (Urk. 8/21). B.___ war bis zu seiner Entlassung GeschÃ¤ftsfÃ¼hrer, ohne jedoch zugleich dem Verwaltungsrat anzugehÃ¶ren. Ebenfalls nicht im Verwaltungsrat vertreten war C.___ (Urk. 8/47, vgl. auch Urk. 3/4 und Urk. 3/10). Weder B.___ noch C.___ waren AktionÃ¤re der Gesellschaft. AktionÃ¤re waren E.___, F.___ sowie G.___. Per 1. Januar 2005 Ã¼bernahm neu die H.___ die Aktienmehrheit (Urk. 3/6, Urk. 3/8 und Urk. 8/14). Die H.___ ist ihrerseits mit der I.___ personell verflochten. Die personelle Verflechtung ist namentlich auf J.___ und K.___ zurÃ¼ckzufÃ¼hren (Urk. 3/5, Urk. 8/11, Urk. 11/1-3). Die Mitglieder der Familie von B.___ sind, soweit ersichtlich, einzig in der Firma A.___ involviert (vgl. auch Urk. 8/12). Wieder andere Organe und wohl auch einen anderen AktionÃ¤rskreis hat die D.___ (Urk. 11/4). Die A.___ ist somit zwar Teil eines Konglomerats. Dieses wird jedoch nicht von der Familie von B.___ beherrscht. Es kann daher nicht davon ausgegangen werden, C.___ oder ihr Ehemann, B.___, hÃ¤tten sich beliebig von einem Betrieb in den andern verschieben und sich dort neu anstellen lassen kÃ¶nnen.</w:t>
      </w:r>
    </w:p>
    <w:p>
      <w:r>
        <w:rPr>
          <w:b/>
        </w:rPr>
        <w:t>E. 2.3</w:t>
      </w:r>
    </w:p>
    <w:p>
      <w:r>
        <w:t>2.3.1Â Â Â Â Â Â Â Â  Fraglich und zu prÃ¼fen ist, ob B.___ bei der A.___ eine arbeitgeberÃ¤hnliche Stellung inne hatte.</w:t>
      </w:r>
    </w:p>
    <w:p>
      <w:r>
        <w:t>2.3.2Â Â  Nach der Rechtsprechung muss bei Arbeitnehmern, bei denen sich aufgrund ihrer Mitwirkung im Betrieb die Frage stellt, ob sie einem obersten betrieblichen Entscheidungsgremium angehÃ¶ren und ob sie in dieser Eigenschaft massgeblichen Einfluss auf die Unternehmensentscheidungen nehmen kÃ¶nnen, jeweils geprÃ¼ft werden, welche Entscheidungsbefugnisse ihnen aufgrund der internen betrieblichen Struktur zukommen. Hievon ausgenommen hat das EidgenÃ¶ssische Versicherungsgericht (heute Bundesgericht) einzig die mitarbeitenden VerwaltungsrÃ¤te, da diese unmittelbar von Gesetzes wegen (Art. 716-716b OR) Ã¼ber eine massgebliche Entscheidungsbefugnis im Sinne von Art. 31 Abs. 1 lit. c AVIG verfÃ¼gen (BGE 122 V 273 Erw. 3 mit Hinweisen). Hingegen geht es nach der zuvor erwÃ¤hnten Rechtsprechung nicht an, Angestellte in leitenden Funktionen allein deswegen generell vom Anspruch vom Leistungsanspruch, weil sie fÃ¼r einen Betrieb zeichnungsberechtigt und im Handelsregister eingetragen sind (BGE 122 V 272 E. 3, 120 V 521; ARV 1997 Nr. 41 S. 224, C 42/97; Thomas Nussbaumer, Arbeitslosenversicherung, in: Ulrich Meyer [Hrsg.], Schweizerisches Bundesverwaltungsrecht [SBVR], Band XIV, Soziale Sicherheit, 2. Aufl., Basel 2007, Rz 463). Vielmehr ist zu prÃ¼fen, welche Entscheidungsbefugnisse dem Versicherten aufgrund der internen betrieblichen Struktur zukamen (Urteil des Bundesgerichts, I. sozialrechtliche Abteilung, in Sachen F. vom 12. MÃ¤rz 2008, 8C_296/2007, Erw. 4.3).</w:t>
      </w:r>
    </w:p>
    <w:p>
      <w:r>
        <w:t>2.3.3Â Â  GemÃ¤ss Arbeitsvertrag mit der A.___ vom 3. / 25. Dezember 2003 umfasste der Aufgabenbereich von B.___ als GeschÃ¤ftsfÃ¼hrer sÃ¤mtliche mit der Liegenschaftsverwaltung zusammenhÃ¤ngenden Aufgaben, allgemeine VerwaltungstÃ¤tigkeiten gemÃ¤ss Vorgaben, allgemeine GeschÃ¤ftsaufgaben gemÃ¤ss Weisungen des Verwaltungsrates und die Vertretung der Firma nach Aussen (Urk. 8/63). Vor dem Hintergrund, dass B.___ einziger GeschÃ¤ftsfÃ¼hrer war und es sich bei der A.___ um einen kleineren Betrieb mit wenig ausgeprÃ¤gten Organisationsstrukturen handelt, weisen diese Befugnisse eher auf eine arbeitgeberÃ¤hnliche Stellung hin. Entscheidend ist vorliegend jedoch, dass es per 1. Januar 2005 zu einem EigentÃ¼merwechsel kam. Dies hatte eine Neukonstituierung des Verwaltungsrats und eine Neuregelung der Zeichnungsberechtigungen zur Folge (Urk. 3/4, Urk. 3/5). Im Zuge der Ãbernahme ging die operative GeschÃ¤ftsleitung an die neue MehrheitsaktionÃ¤rin, die H.___, Ã¼ber (vgl. letter of understanding vom 11. November 2004, Urk. 8/14 = Urk. 3/14). Was den beabsichtigten Verbleib von B.___ als GeschÃ¤ftsfÃ¼hrer bei der A.___ anbelangt, besteht Unklarheit. Im letter of understanding wird erwÃ¤hnt, das ArbeitsverhÃ¤ltnis mit B.___ sei umgewandelt und bis zum 31. Dezember 2007 befristet worden (Urk. 3/14). Dem widersprechen jedoch die KÃ¼ndigungsschreiben der A.___ vom 22. August und vom 4. September 2006, in welchen auf die im Arbeitsvertrag vom 3. / 25. Dezember 2003 vereinbarten KÃ¼ndigungsfristen Bezug genommen wird. Daraus kÃ¶nnte geschlossen werden, dass keine Befristung vorgenommen wurde (Urk. 3/11). Wie es sich damit verhÃ¤lt, kann offengelassen werden. Aus den Akten geht nÃ¤mlich hervor, dass trotz neuer MehrheitsverhÃ¤ltnisse die Parteien bemÃ¼ht waren, KontinuitÃ¤t sicherzustellen. Dazu passt, dass B.___ zumindest vorlÃ¤ufig in der Gesellschaft als Verantwortlicher fÃ¼r die normalen operativen VerwaltungsgeschÃ¤fte verblieb, dass ihm aber - gemÃ¤ss Auskunft der A.___ vom 17. Januar 2007 - keine Entscheidungs- und Weisungsbefugnisse hinsichtlich Investitionen, Akquisitionen, Verpflichtungen gegenÃ¼ber Banken und Personalentscheidungen zukam (Urk. 3/10, Urk. 3/14). Unter diesen UmstÃ¤nden kann B.___ zumindest ab 1. Januar 2005 nicht als EntscheidungstrÃ¤ger mit arbeitgeberÃ¤hnlicher Stellung betrachtet werden.</w:t>
      </w:r>
    </w:p>
    <w:p>
      <w:r>
        <w:t>Â Â Â Â Â Â Â Â  Da B.___ spÃ¤testens ab 1. Januar 2005 keine arbeitgeberÃ¤hnliche Stellung mehr zukam, kann nicht davon ausgegangen werden, die AuflÃ¶sung des ArbeitsverhÃ¤ltnisses mit C.___ per 31. Dezember 2004 habe im Machtbereich ihres Ehemannes gelegen und sei rechtsmissbrÃ¤uchlich erfolgt mit dem Zweck, Art. 31 Abs. 3 lit. c AVIG zu umgehen. Entgegen der Ansicht der Beschwerdegegnerin Ã¤ndert daran nichts, dass C.___ noch in einem 30 %-Pensum fÃ¼r die D.___ als Hauswartin tÃ¤tig ist. Zwar ist anzunehmen, dass sie diese TÃ¤tigkeit der A.___ verdankt, bezahlt wird sich jedoch von der D.___ (vgl. Urk. 8/6). Selbst wenn dem nicht so wÃ¤re, liesse sich daraus nicht auf eine missbrÃ¤uchliche Umgehung von Art. 31 Abs. 3 lit. c AVIG schliessen.</w:t>
      </w:r>
    </w:p>
    <w:p>
      <w:r>
        <w:t>Â Â Â Â Â Â Â Â  Die Beschwerdegegnerin verfÃ¼gte die RÃ¼ckforderung der vom 1. Januar bis 31. Oktober 2006 ausgerichteten Leistungen im Betrag vom 39'324.70 (Urk. 2, Urk. 8/2). Nach dem Gesagten kann die Ausrichtung der ArbeitslosenentschÃ¤digung nicht als zweifellos unrichtig qualifiziert werden. In Gutheissung der Beschwerde ist somit der Einspracheentscheid vom 6. MÃ¤rz 2007 aufzuheben mit der Feststellung, dass kein RÃ¼ckforderungsanspruch Ã¼ber Fr. 39'324.70 besteht.</w:t>
      </w:r>
    </w:p>
    <w:p>
      <w:r>
        <w:t>3.Â Â Â Â Â Â  Bei diesem Ausgang des Verfahrens hat die BeschwerdefÃ¼hrerin Anspruch auf eine ParteientschÃ¤digung. Diese ist nach Art. 61 lit. g ATSG in Verbindung mit Â§ 34 des Gesetzes Ã¼ber das Sozialversicherungsgericht ohne RÃ¼cksicht auf den Streitwert nach Bedeutung der Streitsache, der Schwierigkeit des Prozesses, dem Mass des Obsiegens, dem Zeitaufwand und den Barauslagen festzusetzen. In Anwendung dieser GrundsÃ¤tze rechtfertigt sich die Zusprechung einer ProzessentschÃ¤digung von Fr. 1'800.-- (inkl. Mehrwertsteuer und Barauslagen).</w:t>
      </w:r>
    </w:p>
    <w:p>
      <w:r>
        <w:t>Das Gericht erkennt:</w:t>
      </w:r>
    </w:p>
    <w:p>
      <w:r>
        <w:t>1.Â Â Â Â Â Â Â Â  In Gutheissung der Beschwerde wird der Einspracheentscheid der Arbeitslosenkasse Unia vom 6. MÃ¤rz 2007 aufgehoben.</w:t>
      </w:r>
    </w:p>
    <w:p>
      <w:r>
        <w:t>2.Â Â Â Â Â Â Â Â  Das Verfahren ist kostenlos.</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 Rechtsanwalt Eduard StÃ¼rmlin</w:t>
      </w:r>
    </w:p>
    <w:p>
      <w:r>
        <w:t>- Unia Arbeitslosenkasse</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