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AL.2007.00131 vom 7. April 2009</w:t>
      </w:r>
    </w:p>
    <w:p>
      <w:r>
        <w:t>ZH Sozialversicherungsgericht, 2009-04-07, DE</w:t>
      </w:r>
    </w:p>
    <w:p>
      <w:r>
        <w:rPr>
          <w:b/>
        </w:rPr>
        <w:t xml:space="preserve">Quelle: </w:t>
      </w:r>
      <w:r>
        <w:t>https://mcp.opencaselaw.ch/entscheid/zh_sozialversicherungsgericht_AL.2007.00131</w:t>
      </w:r>
    </w:p>
    <w:p>
      <w:r>
        <w:t>FR: ZH_SOZIALVERSICHERUNGSGERICHT AL.2007.00131 du 7 avril 2009</w:t>
      </w:r>
    </w:p>
    <w:p>
      <w:r>
        <w:t>IT: ZH_SOZIALVERSICHERUNGSGERICHT AL.2007.00131 del 7 aprile 2009</w:t>
      </w:r>
    </w:p>
    <w:p>
      <w:pPr>
        <w:pStyle w:val="Heading2"/>
      </w:pPr>
      <w:r>
        <w:t>Erwägungen</w:t>
      </w:r>
    </w:p>
    <w:p>
      <w:r>
        <w:rPr>
          <w:b/>
        </w:rPr>
        <w:t>E. 3</w:t>
      </w:r>
    </w:p>
    <w:p>
      <w:r>
        <w:t>3.1Â Â Â Â  Die Beschwerdegegnerin hat die Taggeldleistungen, deren RÃ¼ckforderung vorliegend strittig ist, in Nachachtung der Vorleistungspflicht erbracht, die ihr gemÃ¤ss Art. 70 Abs. 2 lit. b ATSG und Art. 15 Abs. 2 AVIG und Art. 15 Abs. 3 der Verordnung Ã¼ber die obligatorische Arbeitslosenversicherung und die InsolvenzentschÃ¤digung (AVIV) obliegt.</w:t>
      </w:r>
    </w:p>
    <w:p>
      <w:r>
        <w:t>Â Â Â Â Â Â Â Â Â Â Dementsprechend hat sie einen RÃ¼ckerstattungsanspruch gegenÃ¼ber der nunmehr leistenden Invalidenversicherung (IV) nach Massgabe von Art. 71 ATSG, also im Rahmen von deren Leistungspflicht. Vorausgesetzt ist dabei, dass zwischen der Vorleistung und der nachtrÃ¤glich erbrachten Leistung Kongruenz besteht (Ueli Kieser, ATSG-Kommentar, Rz 7 zu Art. 71), dies in sachlicher, zeitlicher und personeller Hinsicht (Kieser, a.a.O., Rz 11 zu Art. 71).</w:t>
      </w:r>
    </w:p>
    <w:p>
      <w:r>
        <w:t>3.2Â Â Â Â  Soweit sich die RÃ¼ckforderung an die BeschwerdefÃ¼hrerin richtet, ist Art. 95 Abs. 1 bis AVIG massgebend. Somit besteht eine RÃ¼ckerstattungspflicht fÃ¼r im gleichen Zeitraum wie die bezogene ArbeitslosenentschÃ¤digung erhaltenen Renten der IV, betraglich beschrÃ¤nkt auf die HÃ¶he der spÃ¤ter zugesprochenen Leistung.</w:t>
      </w:r>
    </w:p>
    <w:p>
      <w:r>
        <w:t>Â Â Â Â Â Â Â Â Â</w:t>
      </w:r>
    </w:p>
    <w:p>
      <w:r>
        <w:t>Â Â Â Â Â Â Â Â Â  Der Bundesrat hat diese Bestimmung in seiner Botschaft vom 28. Februar 2001 (BBl 2001 2245) wie folgt erlÃ¤utert (BBl 2001 2303):</w:t>
      </w:r>
    </w:p>
    <w:p>
      <w:r>
        <w:t>GemÃ¤ss Artikel 15 Absatz 3 AVIV gilt ein Versicherter, der bei der IV oder einer anderen Sozialversicherung ein Gesuch gestellt hat, bis zu deren Entscheid im vollen Umfang als vermittlungsfÃ¤hig. Wird nun von der IV rÃ¼ckwirkend ein InvaliditÃ¤tsgrad festgestellt, so wird die ALV im Rahmen dieses IV-Grades eine RÃ¼ckforderung verfÃ¼gen. Soweit eine Verrechnung erfolgen kann, stellt dies kein Problem dar. Als problematisch und allenfalls auch stossend wird heute die RÃ¼ckforderung direkt beim Versicherten des nicht durch Verrechnung abgedeckten Teils empfunden. Dies soll durch die neue Bestimmung geÃ¤ndert werden.</w:t>
      </w:r>
    </w:p>
    <w:p>
      <w:r>
        <w:t>Â Â Â Â Â Â Â Â Â  Dass die Beschwerdegegnerin die sich ergebende RÃ¼ckforderung gegenÃ¼ber der IV mit der von dieser zugesprochenen Leistung verrechnen darf, ergibt sich aus Art. 94 Abs. 1 AVIG.</w:t>
      </w:r>
    </w:p>
    <w:p>
      <w:r>
        <w:t>3.3Â Â Â Â  Besonderer Betrachtung bedarf die HÃ¶he der zulÃ¤ssigen, mittels Verrechnung geltend gemachten RÃ¼ckforderung. Dass eine RÃ¼ckforderung im Umfang der ursprÃ¼nglich zugesprochenen Dreiviertelsrente zulÃ¤ssig ist, ist unbestritten; strittig ist hingegen die darÃ¼ber hinausgehende RÃ¼ckforderung, die erhoben wurde, weil der BeschwerdefÃ¼hrerin gestÃ¼tzt auf Art. 43 Abs. 1 IVG eine ganze Rente zugesprochen wurde nachdem sie durch den Tod ihres geschiedenen Ehemannes ab 1. September 2005 Witwe geworden war (vgl. Urk. 8/13).</w:t>
      </w:r>
    </w:p>
    <w:p>
      <w:r>
        <w:t>Â Â Â Â Â Â Â Â Â  Zu klÃ¤ren ist nunmehr, welche Bedeutung Art. 43 Abs. 1 IVG beizumessen ist, denn gestÃ¼tzt auf diese Bestimmung wurde der BeschwerdefÃ¼hrerin anstelle der bisherigen Dreiviertelsrente eine ganze Rente zugesprochen.</w:t>
      </w:r>
    </w:p>
    <w:p>
      <w:r>
        <w:t>Â Â Â Â Â Â Â Â Â  In ihrer ursprÃ¼nglichen Fassung lautete die Bestimmung wie folgt:</w:t>
      </w:r>
    </w:p>
    <w:p>
      <w:r>
        <w:t>Witwen und Waisen, die die Anspruchsvoraussetzungen fÃ¼r eine Hinterlassenenrente der Alters- und Hinterlassenenversicherung und fÃ¼r eine Rente der Invalidenrente gleichzeitig erfÃ¼llen, erhalten nur die Rente der Invalidenversicherung, die jedoch mindestens dem Betrag der ausfallenden Hinterlassenenrente entsprechen muss. Die Rente der Invalidenversicherung wird in gleicher HÃ¶he weitergewÃ¤hrt, wenn nachtrÃ¤glich die Voraussetzungen fÃ¼r den Bezug der Hinterlassenenrente dahinfallen.</w:t>
      </w:r>
    </w:p>
    <w:p>
      <w:r>
        <w:t>Â Â Â Â Â Â Â Â Â  Mit Wirkung ab 1. Januar 1968 wurde die Bestimmung abgeÃ¤ndert und lautete folgendermassen:</w:t>
      </w:r>
    </w:p>
    <w:p>
      <w:r>
        <w:t>Witwen und Waisen, die die Anspruchsvoraussetzungen fÃ¼r eine Hinterlassenenrente der Alters- und Hinterlassenenversicherung und fÃ¼r eine Rente der Invalidenrente gleichzeitig erfÃ¼llen, erhalten nur die Rente der Invalidenversicherung, die jedoch immer als ganze Rente zur Ausrichtung gelangt und mindestens dem Betrag der ausfallenden Hinterlassenenrente entsprechen muss.</w:t>
      </w:r>
    </w:p>
    <w:p>
      <w:r>
        <w:t>Â Â Â Â Â Â Â Â Â  Der Bundesrat fÃ¼hrte in seiner Botschaft vom 27. Februar 1967 (BBl 1967 I 653) zu dieser Ãnderung erlÃ¤uternd aus, die damals geltende Ordnung habe zur Folge, dass beispielsweise halbinvalide Witwen immer nur eine Invalidenrente in der HÃ¶he der ausfallenden Witwenrente erhielten und somit das Zusammenfallen von Witwenschaft und InvaliditÃ¤t nicht besondert entschÃ¤digt werde. Sodann fÃ¼hrte er aus (BBl 1997 I 686):</w:t>
      </w:r>
    </w:p>
    <w:p>
      <w:r>
        <w:t>Diese Regelung ist unbefriedigend, weil sie das Zusammentreffen zweier versicherter Risiken (InvaliditÃ¤t und Tod des ErnÃ¤hrers) nicht berÃ¼cksichtigt. Durch eine Ãnderung von Artikel 43 soll nun der Vorrang der Invalidenrente in solchen FÃ¤llen zwar bestÃ¤tigt, gleichzeitig aber vorgesehen werden, dass immer die ganze Invalidenrente zur Auszahlung gelangt. Solcherart erhÃ¤lt die invalide Witwe in jedem Fall eine hÃ¶here Leistung als die nicht invalide (...).</w:t>
      </w:r>
    </w:p>
    <w:p>
      <w:r>
        <w:t>Â Â Â Â Â Â Â Â Â  GegenÃ¼ber dem Einwand, dass damit Personen eine ganze Invalidenrente gewÃ¤hrt werde, ohne dass der dafÃ¼r vorausgesetzte InvaliditÃ¤tsgrad gegeben sei, wies der Bundesrat darauf hin, dass im (damaligen) Art. 33 Abs. 2 IVG eine Ã¤hnliche LÃ¶sung getroffen worden sei fÃ¼r den Fall, da der Ehemann nur hÃ¤lftig invalid und die Ehefrau Ã¼ber 60jÃ¤hrig sei; auch dort werde das Zusammentreffen zweier Risiken (InvaliditÃ¤t und Alter) durch eine hÃ¶here Invalidenleistung abgegolten. Mit der Aufhebung der bisher gewÃ¤hrten Besitzstandsgarantie fÃ¼r den Fall, dass nachtrÃ¤glich die Voraussetzungen zum Bezug der Witwenrente - beispielsweise infolge Wiederverheiratung der Witwe - dahinfielen, werde die Rente einer wiederverheirateten Witwe kÃ¼nftig in gleicher Weise festgesetzt wie jene aller anderen Ehefrauen (BBl 1967 I 687).</w:t>
      </w:r>
    </w:p>
    <w:p>
      <w:r>
        <w:t>3.4Â Â Â Â  Die bundesrÃ¤tlichen ErlÃ¤uterungen zu den vorliegend massgebenden Bestimmungen machen deutlich, dass sich die in Art. 95 AVIG geregelte RÃ¼ckforderung der Arbeitslosenversicherung bei spÃ¤terer Leistungszusprache der IV offenkundig auf die Leistung der IV bezieht, die nach Massgabe des InvaliditÃ¤tsgrades zugesprochen wurde. Dies ergibt sich ohne jeden Interpretationsspielraum aus der Formulierung in der Botschaft, wonach die RÃ¼ckforderung Âim Rahmen dieses IV-GradesÂ verfÃ¼gt werde.</w:t>
      </w:r>
    </w:p>
    <w:p>
      <w:r>
        <w:t>Â Â Â Â Â Â Â Â Â  Art. 43 IVG sodann wurde geschaffen, um das Zusammentreffen von Leistungen der IV, welche das Risiko InvaliditÃ¤t abdecken, mit Leistungen der AHV, welche unter anderem das Risiko Verwitwung abdecken, zu regeln. Das Regelungsziel der Bestimmung, welche inhaltlich dem heutigen Art. 43 Abs. 1 IVG entspricht, war es, der invaliden Witwe eine hÃ¶here Leistung zukommen zu lassen als der nichtinvaliden Witwe. Als Mittel zur Umsetzung dieses Ziels wurde die LÃ¶sung gewÃ¤hlt, die Invalidenrente Ã¼ber den dem InvaliditÃ¤tsgrad entsprechenden Umfang hinaus schematisch auf eine ganze Invalidenrente zu erhÃ¶hen. Gleichzeitig wurde die frÃ¼here Besitzstandregelung aufgehoben, so dass die Invalidenrente bei Wegfall des Witwenstatus infolge Wiederverheiratung wieder dem InvaliditÃ¤tsgrad entsprechend bemessen wÃ¼rde.</w:t>
      </w:r>
    </w:p>
    <w:p>
      <w:r>
        <w:t>Â Â Â Â Â Â Â Â Â  Dass im damaligen Zeitpunkt die Invalidenrenten anders abgestuft waren als heute, spielt fÃ¼r das grundlegende VerstÃ¤ndnis des Mechanismus als solchem keine Rolle.</w:t>
      </w:r>
    </w:p>
    <w:p>
      <w:r>
        <w:t>3.5Â Â Â Â  Wird einer bereits verwitweten Person eine Invalidenrente zugesprochen, so begnÃ¼gt sich die IV mit einer summarischen PrÃ¼fung der Frage, ob der erforderliche MindestinvaliditÃ¤tsgrad gegeben sei. Den InvaliditÃ¤tsgrad genau zu bestimmen, ist entbehrlich, weil gestÃ¼tzt auf Art. 43 Abs. 1 IVG wegen der bereits eingetretenen Verwitwung ohnehin Anspruch auf eine ganze Rente besteht. In der Folge verneint denn auch die Rechtsprechung ein Feststellungsinteresse bezÃ¼glich des genauen InvaliditÃ¤tsgrades (vgl. SVR 2007 IV Nr. 3, 2006 IV Nr. 11).</w:t>
      </w:r>
    </w:p>
    <w:p>
      <w:r>
        <w:t>Â Â Â Â Â Â Â Â Â  Bei der gestÃ¼tzt auf Art. 43 Abs. 1 IVG zugesprochenen Rente handelt es sich nominell um eine Leistung der Invalidenversicherung; ihre HÃ¶he hat jedoch oberhalb des erforderlichen MindestinvaliditÃ¤tsgrads keinerlei Bezug zur effektiv bestehenden InvaliditÃ¤t. Die Rente wird als ganze Rente ausgerichtet, weil die rentenberechtigte Person verwitwet ist und damit Anspruch auf eine Hinterlassenenrente der AHV hat. Die Differenz zwischen der Invalidenrente, welche dem InvaliditÃ¤tsgrad entsprechen wÃ¼rde, und der ausgerichteten ganzen Invalidenrente ist die Leistung, welche das eingetretene Risiko der Verwitwung abdeckt und hat keinen Zusammenhang mit dem ebenfalls eingetretenen Risiko InvaliditÃ¤t.</w:t>
      </w:r>
    </w:p>
    <w:p>
      <w:r>
        <w:t>Â Â Â Â Â Â Â Â Â  Bemerkenswert ist sodann, dass die Rechtsprechung bei einer verwandten Fragestellung ebenfalls danach unterscheidet, aus welchem Grund eine bestimmter Anspruch besteht. EinschlÃ¤gig ist hier BGE 134 V 208 betreffend die zulÃ¤ssige KÃ¼rzung einer Hinterlassenenleistung an eine geschiedene Person: Bei der ÃberentschÃ¤digungsberechnung ist die AHV-Altersrente nicht beziehungsweise nur insoweit anzurechnen, als sie durch den Eintritt des versicherten Ereignisses - eingetretener Versorgerschaden im Gegensatz zum altersbedingt erworbenen Rentenanspruch - in der HÃ¶he beeinflusst wird (BGE 134 V 220 f. Erw. 4.4).</w:t>
      </w:r>
    </w:p>
    <w:p>
      <w:r>
        <w:t>Â Â Â Â Â Â Â Â Â  Schliesslich fÃ¤llt ins Gewicht, dass die Verwitwung ohne jeglichen Einfluss auf die von der Arbeitslosenversicherung erbrachten Leistungen geblieben ist. Dem entspricht auf Seiten der IV der Umstand, dass die Verwitwung auch den InvaliditÃ¤tsgrad - selbstverstÃ¤ndlich - unverÃ¤ndert belassen hat.</w:t>
      </w:r>
    </w:p>
    <w:p>
      <w:r>
        <w:t>3.6Â Â Â Â  Zusammenfassend ergibt sich, dass sich die RÃ¼ckerstattungsregelung von Art. 95 Abs. 1 bis AVIG im Zusammenhang mit Leistungen der IV auf den InvaliditÃ¤tsgrad als entscheidende ReferenzgrÃ¶sse bezieht; der RÃ¼ckforderungsanspruch erfasst die dem festgestellten InvaliditÃ¤tsgrad entsprechenden Leistungen der IV.</w:t>
      </w:r>
    </w:p>
    <w:p>
      <w:r>
        <w:t>Â Â Â Â Â Â Â Â Â  Invalidenrenten, die gestÃ¼tzt auf Art. 43 Abs. 1 IVG zugesprochen werden, setzen einen InvaliditÃ¤tsgrad von jedenfalls 40 % voraus; darÃ¼ber hinaus haben sie keinen Bezug zur InvaliditÃ¤t der Rentenberechtigten, sondern werden einzig deshalb als ganze Renten ausgerichtet, weil diese verwitwet sind.</w:t>
      </w:r>
    </w:p>
    <w:p>
      <w:r>
        <w:t>Â Â Â Â Â Â Â Â Â  Wenn nun eine dem InvaliditÃ¤tsgrad entsprechende (Viertels-, halbe oder Dreiviertels-) Rente, wie vorliegend, infolge Verwitwung auf eine ganze Rente der Invalidenversicherung erhÃ¶ht wird, so unterliegt aus den dargelegten GrÃ¼nden die resultierende Differenz der RÃ¼ckerstattungspflicht nicht, sondern der RÃ¼ckforderungsanspruch beschrÃ¤nkt sich auf die dem InvaliditÃ¤tsgrad entsprechende Leistung der Invalidenversicherung.</w:t>
      </w:r>
    </w:p>
    <w:p>
      <w:r>
        <w:t>Â Â Â Â Â Â Â Â Â  Diese Betrachtungsweise stellt keine LÃ¼ckenfÃ¼llung in dem Sinne dar, dass eine planwidrige UnvollstÃ¤ndigkeit des Gesetzes behoben wÃ¼rde. Vielmehr ist sie das Ergebnis einer im Rahmen der Gesetzesauslegung vorgenommenen teleologischen Reduktion (vgl. BGE 131 V 246 f. Erw. 5.2 mit Hinweisen): Unter Leistungen Âder InvalidenversicherungÂ im Sinne von Art. 95 Abs. 1 bis AVIG sind Leistungen der IV im engeren oder eigentlichen Sinn zu verstehen.</w:t>
      </w:r>
    </w:p>
    <w:p>
      <w:r>
        <w:t>3.7Â Â Â Â  Demnach ist die Beschwerde in dem Sinne gutzuheissen, dass der angefochtene Entscheid aufgehoben und die Sache zur Festsetzung der RÃ¼ckforderung an die Beschwerdegegnerin zurÃ¼ckgewiesen wird. Ãber den ganzen die RÃ¼ckforderung betreffenden Zeitraum ist dabei als rÃ¼ckerstattungspflichtige Leistung der IV der Betrag einer Dreiviertelsrente einzusetzen.</w:t>
      </w:r>
    </w:p>
    <w:p>
      <w:r>
        <w:t>4.Â Â Â Â Â Â  AusgangsgemÃ¤ss steht der anwaltlich vertretenen BeschwerdefÃ¼hrerin eine ProzessentschÃ¤digung zu, die beim praxisgemÃ¤ssen Stundenansatz von Fr. 200.-- (zuzÃ¼glich Mehrwertsteuer) auf Fr. 1'600.-- (inklusive Barauslagen und Mehrwertsteuer) zu bemessen ist.</w:t>
      </w:r>
    </w:p>
    <w:p>
      <w:r>
        <w:t>Das Gericht erkennt:</w:t>
      </w:r>
    </w:p>
    <w:p>
      <w:r>
        <w:t>1.Â Â Â Â Â Â Â Â  In Gutheissung der Beschwerde wird der angefochtene Einspracheentscheid vom 28. Februar 2007 aufgehoben, und es wird die Sache an die Arbeitslosenkasse des Kantons ZÃ¼rich zurÃ¼ckgewiesen, damit diese die RÃ¼ckforderung im Sinne der ErwÃ¤gungen neu festsetze.</w:t>
      </w:r>
    </w:p>
    <w:p>
      <w:r>
        <w:t>2.Â Â Â Â Â Â Â Â  Das Verfahren ist kostenlos.</w:t>
      </w:r>
    </w:p>
    <w:p>
      <w:r>
        <w:t>3.Â Â Â Â Â Â Â Â  Die Beschwerdegegnerin wird verpflichtet, der BeschwerdefÃ¼hrerin eine ProzessentschÃ¤digung von Fr. 1600.-- (inkl. Barauslagen und MWSt) zu bezahlen.</w:t>
      </w:r>
    </w:p>
    <w:p>
      <w:r>
        <w:t>4.Â Â Â Â Â Â Â Â  Zustellung gegen Empfangsschein an:</w:t>
      </w:r>
    </w:p>
    <w:p>
      <w:r>
        <w:t>- Rechtsanwalt JÃ¼rg Leimbacher</w:t>
      </w:r>
    </w:p>
    <w:p>
      <w:r>
        <w:t>- Arbeitslosenkasse des Kantons ZÃ¼rich</w:t>
      </w:r>
    </w:p>
    <w:p>
      <w:r>
        <w:t>- Staatssekretariat fÃ¼r Wirtschaft seco</w:t>
      </w:r>
    </w:p>
    <w:p>
      <w:r>
        <w:t>- AWA Amt fÃ¼r Wirtschaft und Arbeit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w:t>
      </w:r>
    </w:p>
    <w:p>
      <w:r>
        <w:t>Â Â Â Â Â Â Â Â Â Â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